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6E6FE" w14:textId="76D3425B" w:rsidR="00286B5C" w:rsidRPr="00D244AC" w:rsidRDefault="00286B5C" w:rsidP="00286B5C">
      <w:pPr>
        <w:tabs>
          <w:tab w:val="left" w:pos="1985"/>
        </w:tabs>
        <w:rPr>
          <w:rFonts w:ascii="Arial" w:hAnsi="Arial" w:cs="Arial"/>
          <w:b/>
          <w:sz w:val="24"/>
          <w:szCs w:val="24"/>
        </w:rPr>
      </w:pPr>
      <w:r w:rsidRPr="00D244AC">
        <w:rPr>
          <w:rFonts w:ascii="Arial" w:hAnsi="Arial" w:cs="Arial"/>
          <w:b/>
          <w:sz w:val="24"/>
          <w:szCs w:val="24"/>
        </w:rPr>
        <w:t>3GPP TSG-RAN WG4 Meeting #94-e</w:t>
      </w:r>
      <w:r w:rsidR="00AC3B88" w:rsidRPr="00D244AC">
        <w:rPr>
          <w:rFonts w:ascii="Arial" w:hAnsi="Arial" w:cs="Arial"/>
          <w:b/>
          <w:sz w:val="24"/>
          <w:szCs w:val="24"/>
        </w:rPr>
        <w:t>-Bis</w:t>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t xml:space="preserve">                               </w:t>
      </w:r>
      <w:bookmarkStart w:id="0" w:name="_GoBack"/>
      <w:bookmarkEnd w:id="0"/>
      <w:r w:rsidRPr="00D244AC">
        <w:rPr>
          <w:rFonts w:ascii="Arial" w:hAnsi="Arial" w:cs="Arial"/>
          <w:b/>
          <w:sz w:val="24"/>
          <w:szCs w:val="24"/>
        </w:rPr>
        <w:t>R4-20</w:t>
      </w:r>
      <w:r w:rsidR="00593651">
        <w:rPr>
          <w:rFonts w:ascii="Arial" w:hAnsi="Arial" w:cs="Arial"/>
          <w:b/>
          <w:sz w:val="24"/>
          <w:szCs w:val="24"/>
        </w:rPr>
        <w:t>03086</w:t>
      </w:r>
    </w:p>
    <w:p w14:paraId="0B91319A" w14:textId="5C289ADD" w:rsidR="00853EDE" w:rsidRPr="00D244AC" w:rsidRDefault="00853EDE" w:rsidP="00496F3A">
      <w:pPr>
        <w:tabs>
          <w:tab w:val="left" w:pos="1985"/>
        </w:tabs>
        <w:spacing w:after="100" w:afterAutospacing="1"/>
        <w:jc w:val="both"/>
        <w:rPr>
          <w:rFonts w:ascii="Arial" w:eastAsia="宋体" w:hAnsi="Arial" w:cs="Arial"/>
          <w:b/>
          <w:bCs/>
          <w:noProof/>
          <w:sz w:val="24"/>
          <w:lang w:eastAsia="zh-CN"/>
        </w:rPr>
      </w:pPr>
      <w:r w:rsidRPr="00D244AC">
        <w:rPr>
          <w:rFonts w:ascii="Arial" w:hAnsi="Arial" w:cs="Arial"/>
          <w:b/>
          <w:sz w:val="24"/>
        </w:rPr>
        <w:t>Electronic Meeting, 20 – 30 Apr., 2020</w:t>
      </w:r>
    </w:p>
    <w:p w14:paraId="5443C29C" w14:textId="28DD290E" w:rsidR="00496F3A" w:rsidRPr="00D244AC"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Agenda Item:</w:t>
      </w:r>
      <w:r w:rsidRPr="00D244AC">
        <w:rPr>
          <w:rFonts w:ascii="Arial" w:eastAsia="MS Mincho" w:hAnsi="Arial" w:cs="Arial"/>
          <w:b/>
          <w:sz w:val="24"/>
          <w:szCs w:val="24"/>
          <w:lang w:eastAsia="en-US"/>
        </w:rPr>
        <w:tab/>
      </w:r>
      <w:r w:rsidR="00FB4959" w:rsidRPr="00D244AC">
        <w:rPr>
          <w:rFonts w:ascii="Arial" w:eastAsia="MS Mincho" w:hAnsi="Arial" w:cs="Arial"/>
          <w:b/>
          <w:sz w:val="24"/>
          <w:szCs w:val="24"/>
          <w:lang w:eastAsia="en-US"/>
        </w:rPr>
        <w:t>8</w:t>
      </w:r>
      <w:r w:rsidR="00327680" w:rsidRPr="00D244AC">
        <w:rPr>
          <w:rFonts w:ascii="Arial" w:eastAsia="MS Mincho" w:hAnsi="Arial" w:cs="Arial"/>
          <w:b/>
          <w:sz w:val="24"/>
          <w:szCs w:val="24"/>
          <w:lang w:eastAsia="en-US"/>
        </w:rPr>
        <w:t>.</w:t>
      </w:r>
      <w:r w:rsidR="00846215" w:rsidRPr="00D244AC">
        <w:rPr>
          <w:rFonts w:ascii="Arial" w:eastAsia="MS Mincho" w:hAnsi="Arial" w:cs="Arial"/>
          <w:b/>
          <w:sz w:val="24"/>
          <w:szCs w:val="24"/>
          <w:lang w:eastAsia="en-US"/>
        </w:rPr>
        <w:t>15</w:t>
      </w:r>
      <w:r w:rsidR="00327680" w:rsidRPr="00D244AC">
        <w:rPr>
          <w:rFonts w:ascii="Arial" w:eastAsia="MS Mincho" w:hAnsi="Arial" w:cs="Arial"/>
          <w:b/>
          <w:sz w:val="24"/>
          <w:szCs w:val="24"/>
          <w:lang w:eastAsia="en-US"/>
        </w:rPr>
        <w:t>.</w:t>
      </w:r>
      <w:r w:rsidR="00FB4959" w:rsidRPr="00D244AC">
        <w:rPr>
          <w:rFonts w:ascii="Arial" w:eastAsia="MS Mincho" w:hAnsi="Arial" w:cs="Arial"/>
          <w:b/>
          <w:sz w:val="24"/>
          <w:szCs w:val="24"/>
          <w:lang w:eastAsia="en-US"/>
        </w:rPr>
        <w:t>2</w:t>
      </w:r>
    </w:p>
    <w:p w14:paraId="468DB5A2" w14:textId="67A34CB6" w:rsidR="00496F3A" w:rsidRPr="00D244AC" w:rsidRDefault="00781B1B"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Source:</w:t>
      </w:r>
      <w:r w:rsidRPr="00D244AC">
        <w:rPr>
          <w:rFonts w:ascii="Arial" w:eastAsia="MS Mincho" w:hAnsi="Arial" w:cs="Arial"/>
          <w:b/>
          <w:sz w:val="24"/>
          <w:szCs w:val="24"/>
          <w:lang w:eastAsia="en-US"/>
        </w:rPr>
        <w:tab/>
      </w:r>
      <w:r w:rsidR="007E594E" w:rsidRPr="00D244AC">
        <w:rPr>
          <w:rFonts w:ascii="Arial" w:eastAsia="MS Mincho" w:hAnsi="Arial" w:cs="Arial"/>
          <w:b/>
          <w:sz w:val="24"/>
          <w:szCs w:val="24"/>
          <w:lang w:eastAsia="en-US"/>
        </w:rPr>
        <w:t>Samsung</w:t>
      </w:r>
    </w:p>
    <w:p w14:paraId="457DF552" w14:textId="3A149EED" w:rsidR="00496F3A" w:rsidRPr="00D244AC"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Title:</w:t>
      </w:r>
      <w:r w:rsidR="00781B1B" w:rsidRPr="00D244AC">
        <w:rPr>
          <w:rFonts w:ascii="Arial" w:eastAsia="MS Mincho" w:hAnsi="Arial" w:cs="Arial"/>
          <w:b/>
          <w:sz w:val="24"/>
          <w:szCs w:val="24"/>
          <w:lang w:eastAsia="en-US"/>
        </w:rPr>
        <w:tab/>
      </w:r>
      <w:r w:rsidR="00DA31E9" w:rsidRPr="00D244AC">
        <w:rPr>
          <w:rFonts w:ascii="Arial" w:eastAsia="MS Mincho" w:hAnsi="Arial" w:cs="Arial"/>
          <w:b/>
          <w:sz w:val="24"/>
          <w:szCs w:val="24"/>
          <w:lang w:eastAsia="en-US"/>
        </w:rPr>
        <w:t>Further d</w:t>
      </w:r>
      <w:r w:rsidR="004F50E5" w:rsidRPr="00D244AC">
        <w:rPr>
          <w:rFonts w:ascii="Arial" w:eastAsia="MS Mincho" w:hAnsi="Arial" w:cs="Arial"/>
          <w:b/>
          <w:sz w:val="24"/>
          <w:szCs w:val="24"/>
          <w:lang w:eastAsia="en-US"/>
        </w:rPr>
        <w:t>iscussion on power class 2 UE for EN-DC FDD-TDD</w:t>
      </w:r>
    </w:p>
    <w:p w14:paraId="654B6FB4" w14:textId="330FC7E3" w:rsidR="00692436" w:rsidRPr="00D244AC"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Document for:</w:t>
      </w:r>
      <w:r w:rsidRPr="00D244AC">
        <w:rPr>
          <w:rFonts w:ascii="Arial" w:eastAsia="MS Mincho" w:hAnsi="Arial" w:cs="Arial"/>
          <w:b/>
          <w:sz w:val="24"/>
          <w:szCs w:val="24"/>
          <w:lang w:eastAsia="en-US"/>
        </w:rPr>
        <w:tab/>
      </w:r>
      <w:r w:rsidR="00FB4959" w:rsidRPr="00D244AC">
        <w:rPr>
          <w:rFonts w:ascii="Arial" w:eastAsia="MS Mincho" w:hAnsi="Arial" w:cs="Arial"/>
          <w:b/>
          <w:sz w:val="24"/>
          <w:szCs w:val="24"/>
          <w:lang w:eastAsia="en-US"/>
        </w:rPr>
        <w:t>Approval</w:t>
      </w:r>
    </w:p>
    <w:p w14:paraId="2CB357EB" w14:textId="70F72C37" w:rsidR="00D3674E" w:rsidRPr="00D244AC" w:rsidRDefault="00BB6C9C" w:rsidP="00D876ED">
      <w:pPr>
        <w:pStyle w:val="1"/>
        <w:numPr>
          <w:ilvl w:val="0"/>
          <w:numId w:val="1"/>
        </w:numPr>
        <w:ind w:left="420" w:hanging="420"/>
        <w:rPr>
          <w:rFonts w:eastAsia="宋体" w:cs="Arial"/>
          <w:lang w:eastAsia="zh-CN"/>
        </w:rPr>
      </w:pPr>
      <w:r w:rsidRPr="00D244AC">
        <w:rPr>
          <w:rFonts w:eastAsia="宋体" w:cs="Arial"/>
          <w:lang w:eastAsia="zh-CN"/>
        </w:rPr>
        <w:t>Introduction</w:t>
      </w:r>
    </w:p>
    <w:p w14:paraId="33BDABF5" w14:textId="62EE5B56" w:rsidR="008E504F" w:rsidRPr="00D244AC" w:rsidRDefault="008E504F" w:rsidP="008E504F">
      <w:pPr>
        <w:spacing w:after="120"/>
        <w:rPr>
          <w:rFonts w:ascii="Arial" w:eastAsia="宋体" w:hAnsi="Arial" w:cs="Arial"/>
          <w:lang w:eastAsia="zh-CN"/>
        </w:rPr>
      </w:pPr>
      <w:r w:rsidRPr="00D244AC">
        <w:rPr>
          <w:rFonts w:ascii="Arial" w:eastAsia="宋体" w:hAnsi="Arial" w:cs="Arial"/>
          <w:lang w:eastAsia="zh-CN"/>
        </w:rPr>
        <w:t xml:space="preserve">In the last RAN4 meeting, a way forward on PC2 </w:t>
      </w:r>
      <w:r w:rsidR="00A230B8" w:rsidRPr="00D244AC">
        <w:rPr>
          <w:rFonts w:ascii="Arial" w:eastAsia="宋体" w:hAnsi="Arial" w:cs="Arial"/>
          <w:lang w:eastAsia="zh-CN"/>
        </w:rPr>
        <w:t xml:space="preserve">FDD-TDD </w:t>
      </w:r>
      <w:r w:rsidRPr="00D244AC">
        <w:rPr>
          <w:rFonts w:ascii="Arial" w:eastAsia="宋体" w:hAnsi="Arial" w:cs="Arial"/>
          <w:lang w:eastAsia="zh-CN"/>
        </w:rPr>
        <w:t xml:space="preserve">EN-DC </w:t>
      </w:r>
      <w:r w:rsidR="00A230B8" w:rsidRPr="00D244AC">
        <w:rPr>
          <w:rFonts w:ascii="Arial" w:eastAsia="宋体" w:hAnsi="Arial" w:cs="Arial"/>
          <w:lang w:eastAsia="zh-CN"/>
        </w:rPr>
        <w:t xml:space="preserve">HPUE </w:t>
      </w:r>
      <w:r w:rsidRPr="00D244AC">
        <w:rPr>
          <w:rFonts w:ascii="Arial" w:eastAsia="宋体" w:hAnsi="Arial" w:cs="Arial"/>
          <w:lang w:eastAsia="zh-CN"/>
        </w:rPr>
        <w:t>was approved with the following agreement</w:t>
      </w:r>
      <w:r w:rsidR="00FA08D3">
        <w:rPr>
          <w:rFonts w:ascii="Arial" w:eastAsia="宋体" w:hAnsi="Arial" w:cs="Arial"/>
          <w:lang w:eastAsia="zh-CN"/>
        </w:rPr>
        <w:t xml:space="preserve"> [1]</w:t>
      </w:r>
      <w:r w:rsidRPr="00D244AC">
        <w:rPr>
          <w:rFonts w:ascii="Arial" w:eastAsia="宋体" w:hAnsi="Arial" w:cs="Arial"/>
          <w:lang w:eastAsia="zh-CN"/>
        </w:rPr>
        <w:t>:</w:t>
      </w:r>
    </w:p>
    <w:tbl>
      <w:tblPr>
        <w:tblStyle w:val="aa"/>
        <w:tblW w:w="0" w:type="auto"/>
        <w:tblLook w:val="04A0" w:firstRow="1" w:lastRow="0" w:firstColumn="1" w:lastColumn="0" w:noHBand="0" w:noVBand="1"/>
      </w:tblPr>
      <w:tblGrid>
        <w:gridCol w:w="9629"/>
      </w:tblGrid>
      <w:tr w:rsidR="008E504F" w:rsidRPr="00D244AC" w14:paraId="45C2B265" w14:textId="77777777" w:rsidTr="008E504F">
        <w:tc>
          <w:tcPr>
            <w:tcW w:w="9629" w:type="dxa"/>
          </w:tcPr>
          <w:p w14:paraId="734C34D3" w14:textId="77777777" w:rsidR="00137FB4" w:rsidRPr="00D90B3D" w:rsidRDefault="00137FB4" w:rsidP="00616F8D">
            <w:pPr>
              <w:numPr>
                <w:ilvl w:val="0"/>
                <w:numId w:val="8"/>
              </w:numPr>
              <w:spacing w:after="120"/>
              <w:rPr>
                <w:rFonts w:ascii="Arial" w:hAnsi="Arial" w:cs="Arial"/>
                <w:i/>
                <w:sz w:val="18"/>
                <w:szCs w:val="18"/>
                <w:lang w:val="en-US"/>
              </w:rPr>
            </w:pPr>
            <w:r w:rsidRPr="00D90B3D">
              <w:rPr>
                <w:rFonts w:ascii="Arial" w:hAnsi="Arial" w:cs="Arial"/>
                <w:i/>
                <w:sz w:val="18"/>
                <w:szCs w:val="18"/>
                <w:lang w:val="en-US"/>
              </w:rPr>
              <w:t>Two fixed LTE reference configurations of the PC2 FDD-TDD EN-DC, DutyLTE1=70% , DutyLTE2=40% were agreed</w:t>
            </w:r>
          </w:p>
          <w:p w14:paraId="2E29E7A7" w14:textId="1CCFBE93" w:rsidR="00137FB4" w:rsidRPr="00D90B3D" w:rsidRDefault="00137FB4" w:rsidP="00616F8D">
            <w:pPr>
              <w:numPr>
                <w:ilvl w:val="0"/>
                <w:numId w:val="8"/>
              </w:numPr>
              <w:spacing w:after="120"/>
              <w:rPr>
                <w:rFonts w:ascii="Arial" w:hAnsi="Arial" w:cs="Arial"/>
                <w:i/>
                <w:sz w:val="18"/>
                <w:szCs w:val="18"/>
                <w:lang w:val="en-US"/>
              </w:rPr>
            </w:pPr>
            <w:r w:rsidRPr="00D90B3D">
              <w:rPr>
                <w:rFonts w:ascii="Arial" w:hAnsi="Arial" w:cs="Arial"/>
                <w:i/>
                <w:sz w:val="18"/>
                <w:szCs w:val="18"/>
                <w:lang w:val="en-US"/>
              </w:rPr>
              <w:t>The following capability set was agreed, corresponding to DutyLTE1 and DutyLTE2.</w:t>
            </w:r>
          </w:p>
          <w:p w14:paraId="18A8C272" w14:textId="77777777" w:rsidR="00137FB4" w:rsidRPr="00D90B3D" w:rsidRDefault="00137FB4" w:rsidP="00616F8D">
            <w:pPr>
              <w:numPr>
                <w:ilvl w:val="1"/>
                <w:numId w:val="8"/>
              </w:numPr>
              <w:spacing w:after="120"/>
              <w:rPr>
                <w:rFonts w:ascii="Arial" w:hAnsi="Arial" w:cs="Arial"/>
                <w:i/>
                <w:sz w:val="18"/>
                <w:szCs w:val="18"/>
                <w:lang w:val="en-US"/>
              </w:rPr>
            </w:pPr>
            <w:r w:rsidRPr="00D90B3D">
              <w:rPr>
                <w:rFonts w:ascii="Arial" w:hAnsi="Arial" w:cs="Arial"/>
                <w:i/>
                <w:sz w:val="18"/>
                <w:szCs w:val="18"/>
                <w:lang w:val="en-US"/>
              </w:rPr>
              <w:t xml:space="preserve"> maxNRDuty1 </w:t>
            </w:r>
            <w:r w:rsidRPr="00D90B3D">
              <w:rPr>
                <w:rFonts w:ascii="微软雅黑" w:eastAsia="微软雅黑" w:hAnsi="微软雅黑" w:cs="微软雅黑" w:hint="eastAsia"/>
                <w:i/>
                <w:sz w:val="18"/>
                <w:szCs w:val="18"/>
                <w:lang w:val="en-US"/>
              </w:rPr>
              <w:t>∈</w:t>
            </w:r>
            <w:r w:rsidRPr="00D90B3D">
              <w:rPr>
                <w:rFonts w:ascii="Arial" w:hAnsi="Arial" w:cs="Arial"/>
                <w:i/>
                <w:sz w:val="18"/>
                <w:szCs w:val="18"/>
                <w:lang w:val="en-US"/>
              </w:rPr>
              <w:t xml:space="preserve"> {30%, 40%, 50%, 60%, 70%, 80%, 90%, 100% , Full_duty_supported}</w:t>
            </w:r>
          </w:p>
          <w:p w14:paraId="1D383B8D" w14:textId="77777777" w:rsidR="00137FB4" w:rsidRPr="00D90B3D" w:rsidRDefault="00137FB4" w:rsidP="00616F8D">
            <w:pPr>
              <w:numPr>
                <w:ilvl w:val="1"/>
                <w:numId w:val="8"/>
              </w:numPr>
              <w:spacing w:after="120"/>
              <w:rPr>
                <w:rFonts w:ascii="Arial" w:hAnsi="Arial" w:cs="Arial"/>
                <w:i/>
                <w:sz w:val="18"/>
                <w:szCs w:val="18"/>
                <w:lang w:val="en-US"/>
              </w:rPr>
            </w:pPr>
            <w:r w:rsidRPr="00D90B3D">
              <w:rPr>
                <w:rFonts w:ascii="Arial" w:hAnsi="Arial" w:cs="Arial"/>
                <w:i/>
                <w:sz w:val="18"/>
                <w:szCs w:val="18"/>
                <w:lang w:val="en-US"/>
              </w:rPr>
              <w:t xml:space="preserve"> maxNRDuty2 </w:t>
            </w:r>
            <w:r w:rsidRPr="00D90B3D">
              <w:rPr>
                <w:rFonts w:ascii="微软雅黑" w:eastAsia="微软雅黑" w:hAnsi="微软雅黑" w:cs="微软雅黑" w:hint="eastAsia"/>
                <w:i/>
                <w:sz w:val="18"/>
                <w:szCs w:val="18"/>
                <w:lang w:val="en-US"/>
              </w:rPr>
              <w:t>∈</w:t>
            </w:r>
            <w:r w:rsidRPr="00D90B3D">
              <w:rPr>
                <w:rFonts w:ascii="Arial" w:hAnsi="Arial" w:cs="Arial"/>
                <w:i/>
                <w:sz w:val="18"/>
                <w:szCs w:val="18"/>
                <w:lang w:val="en-US"/>
              </w:rPr>
              <w:t xml:space="preserve"> {30%, 40%, 50%, 60%, 70%, 80%, 90%, 100% }</w:t>
            </w:r>
          </w:p>
          <w:p w14:paraId="4ADD1037" w14:textId="77777777" w:rsidR="006501FB" w:rsidRPr="00D90B3D" w:rsidRDefault="00137FB4" w:rsidP="00616F8D">
            <w:pPr>
              <w:numPr>
                <w:ilvl w:val="1"/>
                <w:numId w:val="8"/>
              </w:numPr>
              <w:spacing w:after="120"/>
              <w:rPr>
                <w:rFonts w:ascii="Arial" w:hAnsi="Arial" w:cs="Arial"/>
                <w:sz w:val="18"/>
                <w:szCs w:val="18"/>
                <w:lang w:val="en-US"/>
              </w:rPr>
            </w:pPr>
            <w:r w:rsidRPr="00D90B3D">
              <w:rPr>
                <w:rFonts w:ascii="Arial" w:hAnsi="Arial" w:cs="Arial"/>
                <w:i/>
                <w:sz w:val="18"/>
                <w:szCs w:val="18"/>
                <w:lang w:val="en-US"/>
              </w:rPr>
              <w:t>Full_duty_supported: no restriction on uplink scheduling for both LTE and NR bands for applicability of PC2 inter-band EN-DC (FDD+TDD) requirements, i.e. SAR compliance will be fulfilled by UE based mechanisms e.g. P-MPR etc. If UE indicate maxNRDuty1= Full_duty_supported, maxNRDuty2 signaling will be overridden i.e. UE will follow  Full_duty_supported capability.</w:t>
            </w:r>
          </w:p>
          <w:p w14:paraId="0A92F1D9" w14:textId="77777777" w:rsidR="00C24B88" w:rsidRPr="00D90B3D" w:rsidRDefault="00C24B88" w:rsidP="00616F8D">
            <w:pPr>
              <w:numPr>
                <w:ilvl w:val="0"/>
                <w:numId w:val="8"/>
              </w:numPr>
              <w:spacing w:after="120"/>
              <w:rPr>
                <w:rFonts w:ascii="Arial" w:hAnsi="Arial" w:cs="Arial"/>
                <w:i/>
                <w:sz w:val="18"/>
                <w:szCs w:val="18"/>
                <w:lang w:val="en-US"/>
              </w:rPr>
            </w:pPr>
            <w:r w:rsidRPr="00D90B3D">
              <w:rPr>
                <w:rFonts w:ascii="Arial" w:hAnsi="Arial" w:cs="Arial"/>
                <w:i/>
                <w:sz w:val="18"/>
                <w:szCs w:val="18"/>
                <w:lang w:val="en-US"/>
              </w:rPr>
              <w:t>Following issues shall be further discussed in the next meeting:</w:t>
            </w:r>
          </w:p>
          <w:p w14:paraId="4254CA07" w14:textId="77777777" w:rsidR="00C24B88" w:rsidRPr="00D90B3D" w:rsidRDefault="00C24B88" w:rsidP="00616F8D">
            <w:pPr>
              <w:numPr>
                <w:ilvl w:val="1"/>
                <w:numId w:val="8"/>
              </w:numPr>
              <w:spacing w:after="120"/>
              <w:rPr>
                <w:rFonts w:ascii="Arial" w:hAnsi="Arial" w:cs="Arial"/>
                <w:i/>
                <w:sz w:val="18"/>
                <w:szCs w:val="18"/>
                <w:lang w:val="en-US"/>
              </w:rPr>
            </w:pPr>
            <w:r w:rsidRPr="00D90B3D">
              <w:rPr>
                <w:rFonts w:ascii="Arial" w:hAnsi="Arial" w:cs="Arial"/>
                <w:i/>
                <w:sz w:val="18"/>
                <w:szCs w:val="18"/>
                <w:lang w:val="en-US"/>
              </w:rPr>
              <w:t>Choosing “default value” or “blind scheme” when capability parameters are absent</w:t>
            </w:r>
          </w:p>
          <w:p w14:paraId="49D75139" w14:textId="77777777" w:rsidR="00C24B88" w:rsidRPr="00D90B3D" w:rsidRDefault="00C24B88" w:rsidP="00616F8D">
            <w:pPr>
              <w:numPr>
                <w:ilvl w:val="2"/>
                <w:numId w:val="8"/>
              </w:numPr>
              <w:spacing w:after="120"/>
              <w:rPr>
                <w:rFonts w:ascii="Arial" w:hAnsi="Arial" w:cs="Arial"/>
                <w:i/>
                <w:sz w:val="18"/>
                <w:szCs w:val="18"/>
                <w:lang w:val="en-US"/>
              </w:rPr>
            </w:pPr>
            <w:r w:rsidRPr="00D90B3D">
              <w:rPr>
                <w:rFonts w:ascii="Arial" w:hAnsi="Arial" w:cs="Arial"/>
                <w:i/>
                <w:sz w:val="18"/>
                <w:szCs w:val="18"/>
                <w:lang w:val="en-US"/>
              </w:rPr>
              <w:t>Option1: Using default value of maxNRDuty for two cases of LTE and NR power combination</w:t>
            </w:r>
          </w:p>
          <w:p w14:paraId="6453DA03" w14:textId="77777777" w:rsidR="00C24B88" w:rsidRPr="00D90B3D" w:rsidRDefault="00C24B88" w:rsidP="00616F8D">
            <w:pPr>
              <w:numPr>
                <w:ilvl w:val="2"/>
                <w:numId w:val="8"/>
              </w:numPr>
              <w:spacing w:after="120"/>
              <w:rPr>
                <w:rFonts w:ascii="Arial" w:hAnsi="Arial" w:cs="Arial"/>
                <w:i/>
                <w:sz w:val="18"/>
                <w:szCs w:val="18"/>
                <w:lang w:val="en-US"/>
              </w:rPr>
            </w:pPr>
            <w:r w:rsidRPr="00D90B3D">
              <w:rPr>
                <w:rFonts w:ascii="Arial" w:hAnsi="Arial" w:cs="Arial"/>
                <w:i/>
                <w:sz w:val="18"/>
                <w:szCs w:val="18"/>
                <w:lang w:val="en-US"/>
              </w:rPr>
              <w:t>Option2: Following blind scheme by reduced power (PLTE) and use of the common UL-DL patterns on the TDD CG</w:t>
            </w:r>
          </w:p>
          <w:p w14:paraId="7FDF8AEA" w14:textId="77777777" w:rsidR="00C24B88" w:rsidRPr="00D90B3D" w:rsidRDefault="00C24B88" w:rsidP="00616F8D">
            <w:pPr>
              <w:numPr>
                <w:ilvl w:val="1"/>
                <w:numId w:val="8"/>
              </w:numPr>
              <w:spacing w:after="120"/>
              <w:rPr>
                <w:rFonts w:ascii="Arial" w:hAnsi="Arial" w:cs="Arial"/>
                <w:i/>
                <w:sz w:val="18"/>
                <w:szCs w:val="18"/>
                <w:lang w:val="en-US"/>
              </w:rPr>
            </w:pPr>
            <w:r w:rsidRPr="00D90B3D">
              <w:rPr>
                <w:rFonts w:ascii="Arial" w:hAnsi="Arial" w:cs="Arial"/>
                <w:i/>
                <w:sz w:val="18"/>
                <w:szCs w:val="18"/>
                <w:lang w:val="en-US"/>
              </w:rPr>
              <w:t>Choosing “PC fallback” or “blind scheme” when the UL EN-DC scheduling exceeds the UE capability</w:t>
            </w:r>
          </w:p>
          <w:p w14:paraId="3DE12D71" w14:textId="77777777" w:rsidR="00C24B88" w:rsidRPr="00D90B3D" w:rsidRDefault="00C24B88" w:rsidP="00616F8D">
            <w:pPr>
              <w:numPr>
                <w:ilvl w:val="2"/>
                <w:numId w:val="8"/>
              </w:numPr>
              <w:spacing w:after="120"/>
              <w:rPr>
                <w:rFonts w:ascii="Arial" w:hAnsi="Arial" w:cs="Arial"/>
                <w:i/>
                <w:sz w:val="18"/>
                <w:szCs w:val="18"/>
                <w:lang w:val="en-US"/>
              </w:rPr>
            </w:pPr>
            <w:r w:rsidRPr="00D90B3D">
              <w:rPr>
                <w:rFonts w:ascii="Arial" w:hAnsi="Arial" w:cs="Arial"/>
                <w:i/>
                <w:sz w:val="18"/>
                <w:szCs w:val="18"/>
                <w:lang w:val="en-US"/>
              </w:rPr>
              <w:t>Option1: UE should fallback to PC3</w:t>
            </w:r>
          </w:p>
          <w:p w14:paraId="099C21A0" w14:textId="06B4EE58" w:rsidR="00616F8D" w:rsidRPr="00D244AC" w:rsidRDefault="00C24B88" w:rsidP="00616F8D">
            <w:pPr>
              <w:numPr>
                <w:ilvl w:val="2"/>
                <w:numId w:val="8"/>
              </w:numPr>
              <w:spacing w:after="120"/>
              <w:rPr>
                <w:rFonts w:ascii="Arial" w:hAnsi="Arial" w:cs="Arial"/>
                <w:i/>
                <w:lang w:val="en-US"/>
              </w:rPr>
            </w:pPr>
            <w:r w:rsidRPr="00D90B3D">
              <w:rPr>
                <w:rFonts w:ascii="Arial" w:hAnsi="Arial" w:cs="Arial"/>
                <w:i/>
                <w:sz w:val="18"/>
                <w:szCs w:val="18"/>
                <w:lang w:val="en-US"/>
              </w:rPr>
              <w:t>Option2: Blind scheme should be followed</w:t>
            </w:r>
          </w:p>
        </w:tc>
      </w:tr>
    </w:tbl>
    <w:p w14:paraId="6B18AE49" w14:textId="77777777" w:rsidR="00614FA3" w:rsidRDefault="00614FA3" w:rsidP="00FE3ECA">
      <w:pPr>
        <w:spacing w:after="120"/>
        <w:rPr>
          <w:rFonts w:ascii="Arial" w:eastAsia="宋体" w:hAnsi="Arial" w:cs="Arial"/>
          <w:lang w:eastAsia="zh-CN"/>
        </w:rPr>
      </w:pPr>
    </w:p>
    <w:p w14:paraId="0A60BD4F" w14:textId="68635F5F" w:rsidR="00044880" w:rsidRPr="00D244AC" w:rsidRDefault="00614FA3" w:rsidP="00FE3ECA">
      <w:pPr>
        <w:spacing w:after="120"/>
        <w:rPr>
          <w:rFonts w:ascii="Arial" w:eastAsia="宋体" w:hAnsi="Arial" w:cs="Arial"/>
          <w:lang w:eastAsia="zh-CN"/>
        </w:rPr>
      </w:pPr>
      <w:r>
        <w:rPr>
          <w:rFonts w:ascii="Arial" w:eastAsia="宋体" w:hAnsi="Arial" w:cs="Arial"/>
          <w:lang w:eastAsia="zh-CN"/>
        </w:rPr>
        <w:t>Meanwhile the open issues were raised and t</w:t>
      </w:r>
      <w:r w:rsidR="00044880" w:rsidRPr="00D244AC">
        <w:rPr>
          <w:rFonts w:ascii="Arial" w:eastAsia="宋体" w:hAnsi="Arial" w:cs="Arial"/>
          <w:lang w:eastAsia="zh-CN"/>
        </w:rPr>
        <w:t xml:space="preserve">his contribution will further discuss the remaining issues for </w:t>
      </w:r>
      <w:r w:rsidR="00D90B3D">
        <w:rPr>
          <w:rFonts w:ascii="Arial" w:eastAsia="PMingLiU" w:hAnsi="Arial" w:cs="Arial"/>
          <w:lang w:eastAsia="zh-TW"/>
        </w:rPr>
        <w:t>PC2 FDD-TDD EN-DC HPUE and make</w:t>
      </w:r>
      <w:r w:rsidR="00044880" w:rsidRPr="00D244AC">
        <w:rPr>
          <w:rFonts w:ascii="Arial" w:eastAsia="PMingLiU" w:hAnsi="Arial" w:cs="Arial"/>
          <w:lang w:eastAsia="zh-TW"/>
        </w:rPr>
        <w:t xml:space="preserve"> the proposals</w:t>
      </w:r>
      <w:r w:rsidR="00D244AC" w:rsidRPr="00D244AC">
        <w:rPr>
          <w:rFonts w:ascii="Arial" w:eastAsia="PMingLiU" w:hAnsi="Arial" w:cs="Arial"/>
          <w:lang w:eastAsia="zh-TW"/>
        </w:rPr>
        <w:t>.</w:t>
      </w:r>
    </w:p>
    <w:p w14:paraId="00CCE73D" w14:textId="77777777" w:rsidR="00C2264D" w:rsidRPr="00D244AC" w:rsidRDefault="00C2264D" w:rsidP="00C2264D">
      <w:pPr>
        <w:pStyle w:val="1"/>
        <w:numPr>
          <w:ilvl w:val="0"/>
          <w:numId w:val="1"/>
        </w:numPr>
        <w:ind w:left="420" w:hanging="420"/>
        <w:rPr>
          <w:rFonts w:eastAsia="宋体" w:cs="Arial"/>
          <w:lang w:eastAsia="zh-CN"/>
        </w:rPr>
      </w:pPr>
      <w:r w:rsidRPr="00D244AC">
        <w:rPr>
          <w:rFonts w:eastAsia="宋体" w:cs="Arial"/>
          <w:lang w:eastAsia="zh-CN"/>
        </w:rPr>
        <w:t>Discussion</w:t>
      </w:r>
    </w:p>
    <w:p w14:paraId="5B54E9F2" w14:textId="67D246FD" w:rsidR="00FE3ECA" w:rsidRPr="00D244AC" w:rsidRDefault="00E324B0" w:rsidP="00FE3ECA">
      <w:pPr>
        <w:spacing w:after="120"/>
        <w:rPr>
          <w:rFonts w:ascii="Arial" w:hAnsi="Arial" w:cs="Arial"/>
          <w:lang w:val="en-US"/>
        </w:rPr>
      </w:pPr>
      <w:r w:rsidRPr="00D244AC">
        <w:rPr>
          <w:rFonts w:ascii="Arial" w:hAnsi="Arial" w:cs="Arial"/>
        </w:rPr>
        <w:t xml:space="preserve">In the way forward, the first </w:t>
      </w:r>
      <w:r w:rsidRPr="00D244AC">
        <w:rPr>
          <w:rFonts w:ascii="Arial" w:hAnsi="Arial" w:cs="Arial"/>
          <w:lang w:val="en-US"/>
        </w:rPr>
        <w:t>open issue</w:t>
      </w:r>
      <w:r w:rsidR="00FE3ECA" w:rsidRPr="00D244AC">
        <w:rPr>
          <w:rFonts w:ascii="Arial" w:hAnsi="Arial" w:cs="Arial"/>
          <w:lang w:val="en-US"/>
        </w:rPr>
        <w:t xml:space="preserve"> shall be further discussed</w:t>
      </w:r>
      <w:r w:rsidR="00942368" w:rsidRPr="00D244AC">
        <w:rPr>
          <w:rFonts w:ascii="Arial" w:hAnsi="Arial" w:cs="Arial"/>
          <w:lang w:val="en-US"/>
        </w:rPr>
        <w:t xml:space="preserve"> as follows:</w:t>
      </w:r>
    </w:p>
    <w:p w14:paraId="3CF8AFB6" w14:textId="77777777" w:rsidR="00F6179D" w:rsidRPr="00D244AC" w:rsidRDefault="00F6179D" w:rsidP="00834112">
      <w:pPr>
        <w:numPr>
          <w:ilvl w:val="0"/>
          <w:numId w:val="8"/>
        </w:numPr>
        <w:spacing w:after="120"/>
        <w:rPr>
          <w:rFonts w:ascii="Arial" w:hAnsi="Arial" w:cs="Arial"/>
          <w:i/>
          <w:sz w:val="18"/>
          <w:szCs w:val="18"/>
          <w:lang w:val="en-US" w:eastAsia="zh-CN"/>
        </w:rPr>
      </w:pPr>
      <w:r w:rsidRPr="00D244AC">
        <w:rPr>
          <w:rFonts w:ascii="Arial" w:hAnsi="Arial" w:cs="Arial"/>
          <w:i/>
          <w:sz w:val="18"/>
          <w:szCs w:val="18"/>
          <w:lang w:val="en-US" w:eastAsia="zh-CN"/>
        </w:rPr>
        <w:t>Choosing “default value” or “blind scheme” when capability parameters are absent</w:t>
      </w:r>
    </w:p>
    <w:p w14:paraId="705A8556" w14:textId="77777777" w:rsidR="00F6179D" w:rsidRPr="00D244AC" w:rsidRDefault="00F6179D" w:rsidP="00834112">
      <w:pPr>
        <w:numPr>
          <w:ilvl w:val="1"/>
          <w:numId w:val="8"/>
        </w:numPr>
        <w:spacing w:after="120"/>
        <w:rPr>
          <w:rFonts w:ascii="Arial" w:hAnsi="Arial" w:cs="Arial"/>
          <w:i/>
          <w:sz w:val="18"/>
          <w:szCs w:val="18"/>
          <w:lang w:val="en-US" w:eastAsia="zh-CN"/>
        </w:rPr>
      </w:pPr>
      <w:r w:rsidRPr="00D244AC">
        <w:rPr>
          <w:rFonts w:ascii="Arial" w:hAnsi="Arial" w:cs="Arial"/>
          <w:i/>
          <w:sz w:val="18"/>
          <w:szCs w:val="18"/>
          <w:lang w:val="en-US" w:eastAsia="zh-CN"/>
        </w:rPr>
        <w:t>Option1: Using default value of maxNRDuty for two cases of LTE and NR power combination</w:t>
      </w:r>
    </w:p>
    <w:p w14:paraId="7A91D13D" w14:textId="0CE32022" w:rsidR="000F2A57" w:rsidRPr="00D244AC" w:rsidRDefault="00F6179D" w:rsidP="00834112">
      <w:pPr>
        <w:numPr>
          <w:ilvl w:val="1"/>
          <w:numId w:val="8"/>
        </w:numPr>
        <w:spacing w:after="120"/>
        <w:rPr>
          <w:rFonts w:ascii="Arial" w:hAnsi="Arial" w:cs="Arial"/>
          <w:i/>
          <w:sz w:val="18"/>
          <w:szCs w:val="18"/>
          <w:lang w:val="en-US" w:eastAsia="zh-CN"/>
        </w:rPr>
      </w:pPr>
      <w:r w:rsidRPr="00D244AC">
        <w:rPr>
          <w:rFonts w:ascii="Arial" w:hAnsi="Arial" w:cs="Arial"/>
          <w:i/>
          <w:sz w:val="18"/>
          <w:szCs w:val="18"/>
          <w:lang w:val="en-US" w:eastAsia="zh-CN"/>
        </w:rPr>
        <w:t>Option2: Following blind scheme by reduced power (PLTE) and use of the common UL-DL patterns on the TDD CG</w:t>
      </w:r>
    </w:p>
    <w:p w14:paraId="005476D9" w14:textId="3A85A1E7" w:rsidR="00F6179D" w:rsidRPr="00D244AC" w:rsidRDefault="000F2A57" w:rsidP="00FE3ECA">
      <w:pPr>
        <w:spacing w:after="120"/>
        <w:rPr>
          <w:rFonts w:ascii="Arial" w:eastAsia="宋体" w:hAnsi="Arial" w:cs="Arial"/>
          <w:lang w:val="en-US" w:eastAsia="zh-CN"/>
        </w:rPr>
      </w:pPr>
      <w:r w:rsidRPr="00D244AC">
        <w:rPr>
          <w:rFonts w:ascii="Arial" w:eastAsia="宋体" w:hAnsi="Arial" w:cs="Arial"/>
          <w:lang w:val="en-US" w:eastAsia="zh-CN"/>
        </w:rPr>
        <w:t>For option</w:t>
      </w:r>
      <w:r w:rsidR="0047037A">
        <w:rPr>
          <w:rFonts w:ascii="Arial" w:eastAsia="宋体" w:hAnsi="Arial" w:cs="Arial"/>
          <w:lang w:val="en-US" w:eastAsia="zh-CN"/>
        </w:rPr>
        <w:t xml:space="preserve"> </w:t>
      </w:r>
      <w:r w:rsidRPr="00D244AC">
        <w:rPr>
          <w:rFonts w:ascii="Arial" w:eastAsia="宋体" w:hAnsi="Arial" w:cs="Arial"/>
          <w:lang w:val="en-US" w:eastAsia="zh-CN"/>
        </w:rPr>
        <w:t>1:</w:t>
      </w:r>
      <w:r w:rsidR="00275291" w:rsidRPr="00D244AC">
        <w:rPr>
          <w:rFonts w:ascii="Arial" w:eastAsia="宋体" w:hAnsi="Arial" w:cs="Arial"/>
          <w:lang w:val="en-US" w:eastAsia="zh-CN"/>
        </w:rPr>
        <w:t xml:space="preserve">  </w:t>
      </w:r>
    </w:p>
    <w:p w14:paraId="1D7245E5" w14:textId="36921C3D" w:rsidR="009653B8" w:rsidRPr="004B056D" w:rsidRDefault="009653B8" w:rsidP="00BD7B97">
      <w:pPr>
        <w:rPr>
          <w:rFonts w:ascii="Arial" w:hAnsi="Arial" w:cs="Arial"/>
          <w:color w:val="4F81BD" w:themeColor="accent1"/>
        </w:rPr>
      </w:pPr>
      <w:r w:rsidRPr="004B056D">
        <w:rPr>
          <w:rFonts w:ascii="Arial" w:eastAsia="宋体" w:hAnsi="Arial" w:cs="Arial"/>
          <w:color w:val="000000" w:themeColor="text1"/>
          <w:lang w:val="en-US" w:eastAsia="zh-CN"/>
        </w:rPr>
        <w:t>Review the</w:t>
      </w:r>
      <w:r w:rsidRPr="004B056D">
        <w:rPr>
          <w:rFonts w:ascii="Arial" w:hAnsi="Arial" w:cs="Arial"/>
          <w:color w:val="000000" w:themeColor="text1"/>
          <w:lang w:val="en-US"/>
        </w:rPr>
        <w:t xml:space="preserve"> </w:t>
      </w:r>
      <w:r w:rsidR="002805CF" w:rsidRPr="004B056D">
        <w:rPr>
          <w:rFonts w:ascii="Arial" w:hAnsi="Arial" w:cs="Arial"/>
          <w:color w:val="000000" w:themeColor="text1"/>
          <w:lang w:val="en-US"/>
        </w:rPr>
        <w:t xml:space="preserve">PC2 </w:t>
      </w:r>
      <w:r w:rsidR="00877E7A" w:rsidRPr="004B056D">
        <w:rPr>
          <w:rFonts w:ascii="Arial" w:hAnsi="Arial" w:cs="Arial"/>
          <w:color w:val="000000" w:themeColor="text1"/>
          <w:lang w:val="en-US"/>
        </w:rPr>
        <w:t>NR SA</w:t>
      </w:r>
      <w:r w:rsidR="002805CF" w:rsidRPr="004B056D">
        <w:rPr>
          <w:rFonts w:ascii="Arial" w:hAnsi="Arial" w:cs="Arial"/>
          <w:color w:val="000000" w:themeColor="text1"/>
          <w:lang w:val="en-US"/>
        </w:rPr>
        <w:t xml:space="preserve"> HPUE</w:t>
      </w:r>
      <w:r w:rsidRPr="004B056D">
        <w:rPr>
          <w:rFonts w:ascii="Arial" w:hAnsi="Arial" w:cs="Arial"/>
          <w:color w:val="000000" w:themeColor="text1"/>
          <w:lang w:val="en-US"/>
        </w:rPr>
        <w:t xml:space="preserve">, </w:t>
      </w:r>
      <w:r w:rsidR="00D90B3D" w:rsidRPr="004B056D">
        <w:rPr>
          <w:rFonts w:ascii="Arial" w:hAnsi="Arial" w:cs="Arial"/>
          <w:color w:val="000000" w:themeColor="text1"/>
          <w:lang w:val="en-US"/>
        </w:rPr>
        <w:t xml:space="preserve">UE capability </w:t>
      </w:r>
      <w:r w:rsidRPr="00941E1B">
        <w:rPr>
          <w:rFonts w:ascii="Arial" w:hAnsi="Arial" w:cs="Arial"/>
          <w:i/>
          <w:color w:val="000000" w:themeColor="text1"/>
          <w:lang w:val="en-US"/>
        </w:rPr>
        <w:t>maxUplinkDutyCycle</w:t>
      </w:r>
      <w:r w:rsidRPr="004B056D">
        <w:rPr>
          <w:rFonts w:ascii="Arial" w:hAnsi="Arial" w:cs="Arial"/>
          <w:color w:val="000000" w:themeColor="text1"/>
          <w:lang w:val="en-US"/>
        </w:rPr>
        <w:t xml:space="preserve"> is introduced to </w:t>
      </w:r>
      <w:r w:rsidR="004B056D">
        <w:rPr>
          <w:rFonts w:ascii="Arial" w:hAnsi="Arial" w:cs="Arial"/>
          <w:color w:val="000000" w:themeColor="text1"/>
          <w:lang w:val="en-US"/>
        </w:rPr>
        <w:t>meet</w:t>
      </w:r>
      <w:r w:rsidRPr="004B056D">
        <w:rPr>
          <w:rFonts w:ascii="Arial" w:hAnsi="Arial" w:cs="Arial"/>
          <w:color w:val="000000" w:themeColor="text1"/>
          <w:lang w:val="en-US"/>
        </w:rPr>
        <w:t xml:space="preserve"> </w:t>
      </w:r>
      <w:r w:rsidR="00D90B3D" w:rsidRPr="004B056D">
        <w:rPr>
          <w:rFonts w:ascii="Arial" w:hAnsi="Arial" w:cs="Arial"/>
          <w:color w:val="000000" w:themeColor="text1"/>
          <w:lang w:val="en-US"/>
        </w:rPr>
        <w:t xml:space="preserve">SAR </w:t>
      </w:r>
      <w:r w:rsidR="004B056D">
        <w:rPr>
          <w:rFonts w:ascii="Arial" w:hAnsi="Arial" w:cs="Arial"/>
          <w:color w:val="000000" w:themeColor="text1"/>
          <w:lang w:val="en-US"/>
        </w:rPr>
        <w:t>regulation</w:t>
      </w:r>
      <w:r w:rsidRPr="004B056D">
        <w:rPr>
          <w:rFonts w:ascii="Arial" w:hAnsi="Arial" w:cs="Arial"/>
          <w:color w:val="000000" w:themeColor="text1"/>
          <w:lang w:val="en-US"/>
        </w:rPr>
        <w:t xml:space="preserve"> </w:t>
      </w:r>
      <w:r w:rsidR="00067AE6" w:rsidRPr="004B056D">
        <w:rPr>
          <w:rFonts w:ascii="Arial" w:hAnsi="Arial" w:cs="Arial"/>
          <w:color w:val="000000" w:themeColor="text1"/>
          <w:lang w:val="en-US"/>
        </w:rPr>
        <w:t xml:space="preserve">requirement. The </w:t>
      </w:r>
      <w:r w:rsidR="004B056D" w:rsidRPr="004B056D">
        <w:rPr>
          <w:rFonts w:ascii="Arial" w:hAnsi="Arial" w:cs="Arial"/>
          <w:color w:val="000000" w:themeColor="text1"/>
          <w:lang w:val="en-US"/>
        </w:rPr>
        <w:t xml:space="preserve">default value of </w:t>
      </w:r>
      <w:r w:rsidRPr="004B056D">
        <w:rPr>
          <w:rFonts w:ascii="Arial" w:hAnsi="Arial" w:cs="Arial"/>
          <w:color w:val="000000" w:themeColor="text1"/>
          <w:lang w:val="en-US"/>
        </w:rPr>
        <w:t xml:space="preserve">capability </w:t>
      </w:r>
      <w:r w:rsidR="00067AE6" w:rsidRPr="00941E1B">
        <w:rPr>
          <w:rFonts w:ascii="Arial" w:hAnsi="Arial" w:cs="Arial"/>
          <w:i/>
          <w:color w:val="000000" w:themeColor="text1"/>
          <w:lang w:val="en-US"/>
        </w:rPr>
        <w:t>maxUplinkDutyCycle</w:t>
      </w:r>
      <w:r w:rsidR="00067AE6" w:rsidRPr="004B056D">
        <w:rPr>
          <w:rFonts w:ascii="Arial" w:hAnsi="Arial" w:cs="Arial"/>
          <w:color w:val="000000" w:themeColor="text1"/>
          <w:lang w:val="en-US"/>
        </w:rPr>
        <w:t xml:space="preserve"> is</w:t>
      </w:r>
      <w:r w:rsidRPr="004B056D">
        <w:rPr>
          <w:rFonts w:ascii="Arial" w:hAnsi="Arial" w:cs="Arial"/>
          <w:color w:val="000000" w:themeColor="text1"/>
          <w:lang w:val="en-US"/>
        </w:rPr>
        <w:t xml:space="preserve"> defined as 50%</w:t>
      </w:r>
      <w:r w:rsidR="004B056D" w:rsidRPr="004B056D">
        <w:rPr>
          <w:rFonts w:ascii="Arial" w:hAnsi="Arial" w:cs="Arial"/>
          <w:color w:val="000000" w:themeColor="text1"/>
          <w:lang w:val="en-US"/>
        </w:rPr>
        <w:t xml:space="preserve">. </w:t>
      </w:r>
      <w:r w:rsidRPr="004B056D">
        <w:rPr>
          <w:rFonts w:ascii="Arial" w:hAnsi="Arial" w:cs="Arial"/>
          <w:color w:val="000000" w:themeColor="text1"/>
        </w:rPr>
        <w:t xml:space="preserve">when the </w:t>
      </w:r>
      <w:r w:rsidR="004B056D" w:rsidRPr="004B056D">
        <w:rPr>
          <w:rFonts w:ascii="Arial" w:hAnsi="Arial" w:cs="Arial"/>
          <w:color w:val="000000" w:themeColor="text1"/>
        </w:rPr>
        <w:t xml:space="preserve">UE </w:t>
      </w:r>
      <w:r w:rsidRPr="004B056D">
        <w:rPr>
          <w:rFonts w:ascii="Arial" w:hAnsi="Arial" w:cs="Arial"/>
          <w:color w:val="000000" w:themeColor="text1"/>
        </w:rPr>
        <w:t xml:space="preserve">capability </w:t>
      </w:r>
      <w:r w:rsidRPr="00941E1B">
        <w:rPr>
          <w:rFonts w:ascii="Arial" w:hAnsi="Arial" w:cs="Arial"/>
          <w:i/>
          <w:iCs/>
          <w:color w:val="000000" w:themeColor="text1"/>
        </w:rPr>
        <w:t>maxUplinkDutyCycle</w:t>
      </w:r>
      <w:r w:rsidRPr="004B056D">
        <w:rPr>
          <w:rFonts w:ascii="Arial" w:hAnsi="Arial" w:cs="Arial"/>
          <w:color w:val="000000" w:themeColor="text1"/>
        </w:rPr>
        <w:t xml:space="preserve"> is </w:t>
      </w:r>
      <w:r w:rsidR="004B056D" w:rsidRPr="004B056D">
        <w:rPr>
          <w:rFonts w:ascii="Arial" w:hAnsi="Arial" w:cs="Arial"/>
          <w:color w:val="000000" w:themeColor="text1"/>
        </w:rPr>
        <w:t xml:space="preserve">not provided </w:t>
      </w:r>
      <w:r w:rsidRPr="004B056D">
        <w:rPr>
          <w:rFonts w:ascii="Arial" w:hAnsi="Arial" w:cs="Arial"/>
          <w:color w:val="000000" w:themeColor="text1"/>
        </w:rPr>
        <w:t>and</w:t>
      </w:r>
      <w:r w:rsidR="004B056D" w:rsidRPr="004B056D">
        <w:rPr>
          <w:rFonts w:ascii="Arial" w:hAnsi="Arial" w:cs="Arial"/>
        </w:rPr>
        <w:t xml:space="preserve"> the percentage of uplink symbols transmitted in a certain evaluation </w:t>
      </w:r>
      <w:r w:rsidR="004B056D" w:rsidRPr="004B056D">
        <w:rPr>
          <w:rFonts w:ascii="Arial" w:hAnsi="Arial" w:cs="Arial"/>
        </w:rPr>
        <w:lastRenderedPageBreak/>
        <w:t>period is larger than</w:t>
      </w:r>
      <w:r w:rsidRPr="004B056D">
        <w:rPr>
          <w:rFonts w:ascii="Arial" w:hAnsi="Arial" w:cs="Arial"/>
          <w:color w:val="000000" w:themeColor="text1"/>
        </w:rPr>
        <w:t xml:space="preserve"> </w:t>
      </w:r>
      <w:r w:rsidR="004B056D" w:rsidRPr="004B056D">
        <w:rPr>
          <w:rFonts w:ascii="Arial" w:hAnsi="Arial" w:cs="Arial"/>
          <w:color w:val="000000" w:themeColor="text1"/>
        </w:rPr>
        <w:t xml:space="preserve">default value or when the </w:t>
      </w:r>
      <w:r w:rsidRPr="004B056D">
        <w:rPr>
          <w:rFonts w:ascii="Arial" w:hAnsi="Arial" w:cs="Arial"/>
          <w:color w:val="000000" w:themeColor="text1"/>
        </w:rPr>
        <w:t xml:space="preserve">UE capability </w:t>
      </w:r>
      <w:r w:rsidRPr="00941E1B">
        <w:rPr>
          <w:rFonts w:ascii="Arial" w:hAnsi="Arial" w:cs="Arial"/>
          <w:i/>
          <w:iCs/>
          <w:color w:val="000000" w:themeColor="text1"/>
        </w:rPr>
        <w:t>maxUplinkDutyCycle</w:t>
      </w:r>
      <w:r w:rsidRPr="004B056D">
        <w:rPr>
          <w:rFonts w:ascii="Arial" w:hAnsi="Arial" w:cs="Arial"/>
          <w:color w:val="000000" w:themeColor="text1"/>
        </w:rPr>
        <w:t xml:space="preserve"> is </w:t>
      </w:r>
      <w:r w:rsidR="004B056D" w:rsidRPr="004B056D">
        <w:rPr>
          <w:rFonts w:ascii="Arial" w:hAnsi="Arial" w:cs="Arial"/>
          <w:color w:val="000000" w:themeColor="text1"/>
        </w:rPr>
        <w:t>provided</w:t>
      </w:r>
      <w:r w:rsidRPr="004B056D">
        <w:rPr>
          <w:rFonts w:ascii="Arial" w:hAnsi="Arial" w:cs="Arial"/>
          <w:color w:val="000000" w:themeColor="text1"/>
        </w:rPr>
        <w:t xml:space="preserve"> and</w:t>
      </w:r>
      <w:r w:rsidR="004B056D" w:rsidRPr="004B056D">
        <w:rPr>
          <w:rFonts w:ascii="Arial" w:hAnsi="Arial" w:cs="Arial"/>
          <w:color w:val="000000" w:themeColor="text1"/>
        </w:rPr>
        <w:t xml:space="preserve"> </w:t>
      </w:r>
      <w:r w:rsidR="004B056D" w:rsidRPr="004B056D">
        <w:rPr>
          <w:rFonts w:ascii="Arial" w:hAnsi="Arial" w:cs="Arial"/>
        </w:rPr>
        <w:t>the percentage of uplink symbols transmitted in a certain evaluation period is larger than</w:t>
      </w:r>
      <w:r w:rsidRPr="004B056D">
        <w:rPr>
          <w:rFonts w:ascii="Arial" w:hAnsi="Arial" w:cs="Arial"/>
          <w:color w:val="000000" w:themeColor="text1"/>
        </w:rPr>
        <w:t xml:space="preserve"> is larger than </w:t>
      </w:r>
      <w:r w:rsidR="004B056D" w:rsidRPr="004B056D">
        <w:rPr>
          <w:rFonts w:ascii="Arial" w:hAnsi="Arial" w:cs="Arial"/>
          <w:iCs/>
          <w:color w:val="000000" w:themeColor="text1"/>
        </w:rPr>
        <w:t>this signalling</w:t>
      </w:r>
      <w:r w:rsidR="004B056D" w:rsidRPr="004B056D">
        <w:rPr>
          <w:rFonts w:ascii="Arial" w:hAnsi="Arial" w:cs="Arial"/>
          <w:color w:val="000000" w:themeColor="text1"/>
        </w:rPr>
        <w:t xml:space="preserve"> </w:t>
      </w:r>
      <w:r w:rsidRPr="004B056D">
        <w:rPr>
          <w:rFonts w:ascii="Arial" w:hAnsi="Arial" w:cs="Arial"/>
          <w:color w:val="000000" w:themeColor="text1"/>
        </w:rPr>
        <w:t xml:space="preserve">PC2 UE </w:t>
      </w:r>
      <w:r w:rsidR="004B056D" w:rsidRPr="004B056D">
        <w:rPr>
          <w:rFonts w:ascii="Arial" w:hAnsi="Arial" w:cs="Arial"/>
          <w:color w:val="000000" w:themeColor="text1"/>
        </w:rPr>
        <w:t xml:space="preserve">will </w:t>
      </w:r>
      <w:r w:rsidRPr="004B056D">
        <w:rPr>
          <w:rFonts w:ascii="Arial" w:hAnsi="Arial" w:cs="Arial"/>
          <w:color w:val="000000" w:themeColor="text1"/>
        </w:rPr>
        <w:t xml:space="preserve">fall back </w:t>
      </w:r>
      <w:r w:rsidR="004B056D" w:rsidRPr="004B056D">
        <w:rPr>
          <w:rFonts w:ascii="Arial" w:hAnsi="Arial" w:cs="Arial"/>
          <w:color w:val="000000" w:themeColor="text1"/>
        </w:rPr>
        <w:t xml:space="preserve">from PC2 </w:t>
      </w:r>
      <w:r w:rsidRPr="004B056D">
        <w:rPr>
          <w:rFonts w:ascii="Arial" w:hAnsi="Arial" w:cs="Arial"/>
          <w:color w:val="000000" w:themeColor="text1"/>
        </w:rPr>
        <w:t>to PC3</w:t>
      </w:r>
      <w:r w:rsidR="004B056D" w:rsidRPr="004B056D">
        <w:rPr>
          <w:rFonts w:ascii="Arial" w:hAnsi="Arial" w:cs="Arial"/>
          <w:color w:val="000000" w:themeColor="text1"/>
        </w:rPr>
        <w:t>.</w:t>
      </w:r>
      <w:r w:rsidRPr="004B056D">
        <w:rPr>
          <w:rFonts w:ascii="Arial" w:hAnsi="Arial" w:cs="Arial"/>
          <w:color w:val="4F81BD" w:themeColor="accent1"/>
        </w:rPr>
        <w:t xml:space="preserve"> </w:t>
      </w:r>
    </w:p>
    <w:p w14:paraId="1823B3F6" w14:textId="34C33DA3" w:rsidR="00BD7B97" w:rsidRPr="00D244AC" w:rsidRDefault="00FF2580" w:rsidP="00BD7B97">
      <w:pPr>
        <w:rPr>
          <w:rFonts w:ascii="Arial" w:eastAsia="宋体" w:hAnsi="Arial" w:cs="Arial"/>
          <w:color w:val="000000" w:themeColor="text1"/>
          <w:lang w:val="en-US" w:eastAsia="zh-CN"/>
        </w:rPr>
      </w:pPr>
      <w:r w:rsidRPr="00D244AC">
        <w:rPr>
          <w:rFonts w:ascii="Arial" w:eastAsia="宋体" w:hAnsi="Arial" w:cs="Arial"/>
          <w:color w:val="000000" w:themeColor="text1"/>
          <w:lang w:eastAsia="zh-CN"/>
        </w:rPr>
        <w:t>Meanwhile</w:t>
      </w:r>
      <w:r w:rsidR="002805CF" w:rsidRPr="00D244AC">
        <w:rPr>
          <w:rFonts w:ascii="Arial" w:eastAsia="宋体" w:hAnsi="Arial" w:cs="Arial"/>
          <w:color w:val="000000" w:themeColor="text1"/>
          <w:lang w:val="en-US" w:eastAsia="zh-CN"/>
        </w:rPr>
        <w:t xml:space="preserve"> r</w:t>
      </w:r>
      <w:r w:rsidR="000F2A57" w:rsidRPr="00D244AC">
        <w:rPr>
          <w:rFonts w:ascii="Arial" w:eastAsia="宋体" w:hAnsi="Arial" w:cs="Arial"/>
          <w:color w:val="000000" w:themeColor="text1"/>
          <w:lang w:val="en-US" w:eastAsia="zh-CN"/>
        </w:rPr>
        <w:t xml:space="preserve">eview the </w:t>
      </w:r>
      <w:r w:rsidR="00BD7B97" w:rsidRPr="00D244AC">
        <w:rPr>
          <w:rFonts w:ascii="Arial" w:eastAsia="PMingLiU" w:hAnsi="Arial" w:cs="Arial"/>
          <w:color w:val="000000" w:themeColor="text1"/>
          <w:lang w:eastAsia="zh-TW"/>
        </w:rPr>
        <w:t>PC2 TDD-TDD EN-DC HPUE</w:t>
      </w:r>
      <w:r w:rsidR="002805CF" w:rsidRPr="00D244AC">
        <w:rPr>
          <w:rFonts w:ascii="Arial" w:eastAsia="等线" w:hAnsi="Arial" w:cs="Arial"/>
          <w:color w:val="000000" w:themeColor="text1"/>
        </w:rPr>
        <w:t xml:space="preserve">, </w:t>
      </w:r>
      <w:r w:rsidR="004B056D">
        <w:rPr>
          <w:rFonts w:ascii="Arial" w:eastAsia="等线" w:hAnsi="Arial" w:cs="Arial"/>
          <w:color w:val="000000" w:themeColor="text1"/>
        </w:rPr>
        <w:t xml:space="preserve">also </w:t>
      </w:r>
      <w:r w:rsidR="002805CF" w:rsidRPr="00D244AC">
        <w:rPr>
          <w:rFonts w:ascii="Arial" w:eastAsia="PMingLiU" w:hAnsi="Arial" w:cs="Arial"/>
          <w:color w:val="000000" w:themeColor="text1"/>
          <w:lang w:eastAsia="zh-TW"/>
        </w:rPr>
        <w:t>t</w:t>
      </w:r>
      <w:r w:rsidR="004B056D">
        <w:rPr>
          <w:rFonts w:ascii="Arial" w:eastAsia="PMingLiU" w:hAnsi="Arial" w:cs="Arial"/>
          <w:color w:val="000000" w:themeColor="text1"/>
          <w:lang w:eastAsia="zh-TW"/>
        </w:rPr>
        <w:t>o meet</w:t>
      </w:r>
      <w:r w:rsidR="00BD7B97" w:rsidRPr="00D244AC">
        <w:rPr>
          <w:rFonts w:ascii="Arial" w:eastAsia="PMingLiU" w:hAnsi="Arial" w:cs="Arial"/>
          <w:color w:val="000000" w:themeColor="text1"/>
          <w:lang w:eastAsia="zh-TW"/>
        </w:rPr>
        <w:t xml:space="preserve"> the SAR </w:t>
      </w:r>
      <w:r w:rsidR="004B056D">
        <w:rPr>
          <w:rFonts w:ascii="Arial" w:eastAsia="PMingLiU" w:hAnsi="Arial" w:cs="Arial"/>
          <w:color w:val="000000" w:themeColor="text1"/>
          <w:lang w:eastAsia="zh-TW"/>
        </w:rPr>
        <w:t>requirement</w:t>
      </w:r>
      <w:r w:rsidR="00BD7B97" w:rsidRPr="00D244AC">
        <w:rPr>
          <w:rFonts w:ascii="Arial" w:eastAsia="PMingLiU" w:hAnsi="Arial" w:cs="Arial"/>
          <w:color w:val="000000" w:themeColor="text1"/>
          <w:lang w:eastAsia="zh-TW"/>
        </w:rPr>
        <w:t xml:space="preserve">, </w:t>
      </w:r>
      <w:r w:rsidRPr="00D244AC">
        <w:rPr>
          <w:rFonts w:ascii="Arial" w:hAnsi="Arial" w:cs="Arial"/>
          <w:color w:val="000000" w:themeColor="text1"/>
        </w:rPr>
        <w:t>it is agreed to introduce the</w:t>
      </w:r>
      <w:r w:rsidR="00307678">
        <w:rPr>
          <w:rFonts w:ascii="Arial" w:hAnsi="Arial" w:cs="Arial"/>
          <w:color w:val="000000" w:themeColor="text1"/>
        </w:rPr>
        <w:t xml:space="preserve"> UE capability </w:t>
      </w:r>
      <w:r w:rsidR="00BD7B97" w:rsidRPr="00941E1B">
        <w:rPr>
          <w:rFonts w:ascii="Arial" w:hAnsi="Arial" w:cs="Arial"/>
          <w:i/>
          <w:color w:val="000000" w:themeColor="text1"/>
        </w:rPr>
        <w:t>maxUplinkDutyCycle-EN-DC</w:t>
      </w:r>
      <w:r w:rsidR="00941E1B">
        <w:rPr>
          <w:rFonts w:ascii="Arial" w:hAnsi="Arial" w:cs="Arial"/>
          <w:color w:val="000000" w:themeColor="text1"/>
        </w:rPr>
        <w:t xml:space="preserve"> which indicates </w:t>
      </w:r>
      <w:r w:rsidR="00BD7B97" w:rsidRPr="00D244AC">
        <w:rPr>
          <w:rFonts w:ascii="Arial" w:hAnsi="Arial" w:cs="Arial"/>
          <w:color w:val="000000" w:themeColor="text1"/>
        </w:rPr>
        <w:t xml:space="preserve">the </w:t>
      </w:r>
      <w:r w:rsidR="00941E1B">
        <w:rPr>
          <w:rFonts w:ascii="Arial" w:hAnsi="Arial" w:cs="Arial"/>
          <w:color w:val="000000" w:themeColor="text1"/>
        </w:rPr>
        <w:t>NR max u</w:t>
      </w:r>
      <w:r w:rsidR="00BD7B97" w:rsidRPr="00D244AC">
        <w:rPr>
          <w:rFonts w:ascii="Arial" w:hAnsi="Arial" w:cs="Arial"/>
          <w:color w:val="000000" w:themeColor="text1"/>
        </w:rPr>
        <w:t>plink</w:t>
      </w:r>
      <w:r w:rsidR="00941E1B">
        <w:rPr>
          <w:rFonts w:ascii="Arial" w:hAnsi="Arial" w:cs="Arial"/>
          <w:color w:val="000000" w:themeColor="text1"/>
        </w:rPr>
        <w:t xml:space="preserve"> dutyc</w:t>
      </w:r>
      <w:r w:rsidR="00BD7B97" w:rsidRPr="00D244AC">
        <w:rPr>
          <w:rFonts w:ascii="Arial" w:hAnsi="Arial" w:cs="Arial"/>
          <w:color w:val="000000" w:themeColor="text1"/>
        </w:rPr>
        <w:t xml:space="preserve">ycle </w:t>
      </w:r>
      <w:r w:rsidR="00941E1B">
        <w:rPr>
          <w:rFonts w:ascii="Arial" w:hAnsi="Arial" w:cs="Arial"/>
          <w:color w:val="000000" w:themeColor="text1"/>
        </w:rPr>
        <w:t>according</w:t>
      </w:r>
      <w:r w:rsidR="002805CF" w:rsidRPr="00D244AC">
        <w:rPr>
          <w:rFonts w:ascii="Arial" w:hAnsi="Arial" w:cs="Arial"/>
          <w:color w:val="000000" w:themeColor="text1"/>
        </w:rPr>
        <w:t xml:space="preserve"> to </w:t>
      </w:r>
      <w:r w:rsidR="00941E1B">
        <w:rPr>
          <w:rFonts w:ascii="Arial" w:hAnsi="Arial" w:cs="Arial"/>
          <w:color w:val="000000" w:themeColor="text1"/>
        </w:rPr>
        <w:t xml:space="preserve">TDD </w:t>
      </w:r>
      <w:r w:rsidR="002805CF" w:rsidRPr="00D244AC">
        <w:rPr>
          <w:rFonts w:ascii="Arial" w:hAnsi="Arial" w:cs="Arial"/>
          <w:color w:val="000000" w:themeColor="text1"/>
        </w:rPr>
        <w:t xml:space="preserve">LTE UL/DL configuration. </w:t>
      </w:r>
      <w:r w:rsidR="002805CF" w:rsidRPr="00D244AC">
        <w:rPr>
          <w:rFonts w:ascii="Arial" w:eastAsia="宋体" w:hAnsi="Arial" w:cs="Arial"/>
          <w:color w:val="000000" w:themeColor="text1"/>
          <w:lang w:val="en-US" w:eastAsia="zh-CN"/>
        </w:rPr>
        <w:t xml:space="preserve">When the </w:t>
      </w:r>
      <w:r w:rsidR="00941E1B">
        <w:rPr>
          <w:rFonts w:ascii="Arial" w:eastAsia="宋体" w:hAnsi="Arial" w:cs="Arial"/>
          <w:color w:val="000000" w:themeColor="text1"/>
          <w:lang w:val="en-US" w:eastAsia="zh-CN"/>
        </w:rPr>
        <w:t xml:space="preserve">UE </w:t>
      </w:r>
      <w:r w:rsidR="002805CF" w:rsidRPr="00D244AC">
        <w:rPr>
          <w:rFonts w:ascii="Arial" w:eastAsia="宋体" w:hAnsi="Arial" w:cs="Arial"/>
          <w:color w:val="000000" w:themeColor="text1"/>
          <w:lang w:val="en-US" w:eastAsia="zh-CN"/>
        </w:rPr>
        <w:t>capability</w:t>
      </w:r>
      <w:r w:rsidR="00941E1B">
        <w:rPr>
          <w:rFonts w:ascii="Arial" w:eastAsia="宋体" w:hAnsi="Arial" w:cs="Arial"/>
          <w:color w:val="000000" w:themeColor="text1"/>
          <w:lang w:val="en-US" w:eastAsia="zh-CN"/>
        </w:rPr>
        <w:t xml:space="preserve"> is not provided</w:t>
      </w:r>
      <w:r w:rsidR="002805CF" w:rsidRPr="00D244AC">
        <w:rPr>
          <w:rFonts w:ascii="Arial" w:eastAsia="宋体" w:hAnsi="Arial" w:cs="Arial"/>
          <w:color w:val="000000" w:themeColor="text1"/>
          <w:lang w:val="en-US" w:eastAsia="zh-CN"/>
        </w:rPr>
        <w:t xml:space="preserve">, the default values of </w:t>
      </w:r>
      <w:r w:rsidR="002805CF" w:rsidRPr="0047037A">
        <w:rPr>
          <w:rFonts w:ascii="Arial" w:eastAsia="宋体" w:hAnsi="Arial" w:cs="Arial"/>
          <w:i/>
          <w:color w:val="000000" w:themeColor="text1"/>
          <w:lang w:val="en-US" w:eastAsia="zh-CN"/>
        </w:rPr>
        <w:t>maxUplinkDutyCycle</w:t>
      </w:r>
      <w:r w:rsidR="00A230B8" w:rsidRPr="0047037A">
        <w:rPr>
          <w:rFonts w:ascii="Arial" w:hAnsi="Arial" w:cs="Arial"/>
          <w:i/>
          <w:color w:val="000000" w:themeColor="text1"/>
        </w:rPr>
        <w:t>-EN-DC</w:t>
      </w:r>
      <w:r w:rsidR="003458F9">
        <w:rPr>
          <w:rFonts w:ascii="Arial" w:eastAsia="宋体" w:hAnsi="Arial" w:cs="Arial"/>
          <w:color w:val="000000" w:themeColor="text1"/>
          <w:lang w:val="en-US" w:eastAsia="zh-CN"/>
        </w:rPr>
        <w:t xml:space="preserve"> is defined as 30%.</w:t>
      </w:r>
    </w:p>
    <w:p w14:paraId="320383B4" w14:textId="52DCE11A" w:rsidR="00537FEB" w:rsidRDefault="00A230B8" w:rsidP="00877E7A">
      <w:pPr>
        <w:rPr>
          <w:rFonts w:ascii="Arial" w:hAnsi="Arial" w:cs="Arial"/>
          <w:color w:val="000000" w:themeColor="text1"/>
          <w:lang w:val="en-US"/>
        </w:rPr>
      </w:pPr>
      <w:r w:rsidRPr="00D244AC">
        <w:rPr>
          <w:rFonts w:ascii="Arial" w:eastAsia="宋体" w:hAnsi="Arial" w:cs="Arial"/>
          <w:color w:val="000000" w:themeColor="text1"/>
          <w:lang w:val="en-US" w:eastAsia="zh-CN"/>
        </w:rPr>
        <w:t xml:space="preserve">Regarding </w:t>
      </w:r>
      <w:r w:rsidRPr="00D244AC">
        <w:rPr>
          <w:rFonts w:ascii="Arial" w:eastAsia="PMingLiU" w:hAnsi="Arial" w:cs="Arial"/>
          <w:color w:val="000000" w:themeColor="text1"/>
          <w:lang w:eastAsia="zh-TW"/>
        </w:rPr>
        <w:t xml:space="preserve">PC2 FDD-TDD EN-DC HPUE, the UE capability set </w:t>
      </w:r>
      <w:r w:rsidRPr="00D244AC">
        <w:rPr>
          <w:rFonts w:ascii="Arial" w:hAnsi="Arial" w:cs="Arial"/>
          <w:color w:val="000000" w:themeColor="text1"/>
          <w:lang w:val="en-US"/>
        </w:rPr>
        <w:t xml:space="preserve">{maxNRDuty1, maxNRDuty2} is agreed to </w:t>
      </w:r>
      <w:r w:rsidR="00C64CD9" w:rsidRPr="00D244AC">
        <w:rPr>
          <w:rFonts w:ascii="Arial" w:hAnsi="Arial" w:cs="Arial"/>
          <w:color w:val="000000" w:themeColor="text1"/>
          <w:lang w:val="en-US"/>
        </w:rPr>
        <w:t xml:space="preserve">be </w:t>
      </w:r>
      <w:r w:rsidRPr="00D244AC">
        <w:rPr>
          <w:rFonts w:ascii="Arial" w:hAnsi="Arial" w:cs="Arial"/>
          <w:color w:val="000000" w:themeColor="text1"/>
          <w:lang w:val="en-US"/>
        </w:rPr>
        <w:t xml:space="preserve">introduced corresponding to </w:t>
      </w:r>
      <w:r w:rsidR="00FF2580" w:rsidRPr="00D244AC">
        <w:rPr>
          <w:rFonts w:ascii="Arial" w:hAnsi="Arial" w:cs="Arial"/>
          <w:color w:val="000000" w:themeColor="text1"/>
          <w:lang w:val="en-US"/>
        </w:rPr>
        <w:t>t</w:t>
      </w:r>
      <w:r w:rsidRPr="00D244AC">
        <w:rPr>
          <w:rFonts w:ascii="Arial" w:hAnsi="Arial" w:cs="Arial"/>
          <w:color w:val="000000" w:themeColor="text1"/>
          <w:lang w:val="en-US"/>
        </w:rPr>
        <w:t xml:space="preserve">wo fixed LTE reference configurations DutyLTE1 and DutyLTE2. </w:t>
      </w:r>
      <w:r w:rsidR="00537FEB">
        <w:rPr>
          <w:rFonts w:ascii="Arial" w:hAnsi="Arial" w:cs="Arial"/>
          <w:color w:val="000000" w:themeColor="text1"/>
          <w:lang w:val="en-US"/>
        </w:rPr>
        <w:t xml:space="preserve">And also the outcome of </w:t>
      </w:r>
      <w:r w:rsidR="009F41F1">
        <w:rPr>
          <w:rFonts w:ascii="Arial" w:hAnsi="Arial" w:cs="Arial"/>
          <w:color w:val="000000" w:themeColor="text1"/>
          <w:lang w:val="en-US"/>
        </w:rPr>
        <w:t>SI</w:t>
      </w:r>
      <w:r w:rsidR="00537FEB">
        <w:rPr>
          <w:rFonts w:ascii="Arial" w:hAnsi="Arial" w:cs="Arial"/>
          <w:color w:val="000000" w:themeColor="text1"/>
          <w:lang w:val="en-US"/>
        </w:rPr>
        <w:t xml:space="preserve"> were </w:t>
      </w:r>
      <w:r w:rsidR="00537FEB" w:rsidRPr="00537FEB">
        <w:rPr>
          <w:rFonts w:ascii="Arial" w:hAnsi="Arial" w:cs="Arial" w:hint="eastAsia"/>
          <w:color w:val="000000" w:themeColor="text1"/>
        </w:rPr>
        <w:t>exc</w:t>
      </w:r>
      <w:r w:rsidR="00537FEB">
        <w:rPr>
          <w:rFonts w:ascii="Arial" w:hAnsi="Arial" w:cs="Arial" w:hint="eastAsia"/>
          <w:color w:val="000000" w:themeColor="text1"/>
        </w:rPr>
        <w:t>erpted from 6</w:t>
      </w:r>
      <w:r w:rsidR="00537FEB">
        <w:rPr>
          <w:rFonts w:ascii="Arial" w:hAnsi="Arial" w:cs="Arial"/>
          <w:color w:val="000000" w:themeColor="text1"/>
        </w:rPr>
        <w:t>.2 and 6.3</w:t>
      </w:r>
      <w:r w:rsidR="00537FEB">
        <w:rPr>
          <w:rFonts w:ascii="Arial" w:hAnsi="Arial" w:cs="Arial" w:hint="eastAsia"/>
          <w:color w:val="000000" w:themeColor="text1"/>
        </w:rPr>
        <w:t xml:space="preserve"> of </w:t>
      </w:r>
      <w:r w:rsidR="00537FEB">
        <w:rPr>
          <w:rFonts w:ascii="Arial" w:hAnsi="Arial" w:cs="Arial"/>
          <w:color w:val="000000" w:themeColor="text1"/>
        </w:rPr>
        <w:t>TR37.815</w:t>
      </w:r>
      <w:r w:rsidR="00C0124D">
        <w:rPr>
          <w:rFonts w:ascii="Arial" w:hAnsi="Arial" w:cs="Arial"/>
          <w:color w:val="000000" w:themeColor="text1"/>
        </w:rPr>
        <w:t xml:space="preserve"> [5]</w:t>
      </w:r>
      <w:r w:rsidR="00537FEB" w:rsidRPr="00537FEB">
        <w:rPr>
          <w:rFonts w:ascii="Arial" w:hAnsi="Arial" w:cs="Arial" w:hint="eastAsia"/>
          <w:color w:val="000000" w:themeColor="text1"/>
        </w:rPr>
        <w:t xml:space="preserve"> as follows</w:t>
      </w:r>
    </w:p>
    <w:tbl>
      <w:tblPr>
        <w:tblStyle w:val="aa"/>
        <w:tblW w:w="0" w:type="auto"/>
        <w:tblLook w:val="04A0" w:firstRow="1" w:lastRow="0" w:firstColumn="1" w:lastColumn="0" w:noHBand="0" w:noVBand="1"/>
      </w:tblPr>
      <w:tblGrid>
        <w:gridCol w:w="9629"/>
      </w:tblGrid>
      <w:tr w:rsidR="00537FEB" w14:paraId="62E0B0B0" w14:textId="77777777" w:rsidTr="00537FEB">
        <w:tc>
          <w:tcPr>
            <w:tcW w:w="9629" w:type="dxa"/>
          </w:tcPr>
          <w:p w14:paraId="60E73ED4" w14:textId="77777777" w:rsidR="00537FEB" w:rsidRPr="00537FEB" w:rsidRDefault="00537FEB" w:rsidP="00537FEB">
            <w:pPr>
              <w:rPr>
                <w:rFonts w:ascii="Arial" w:hAnsi="Arial" w:cs="Arial"/>
                <w:i/>
                <w:sz w:val="18"/>
                <w:szCs w:val="18"/>
              </w:rPr>
            </w:pPr>
            <w:r w:rsidRPr="00537FEB">
              <w:rPr>
                <w:rFonts w:ascii="Arial" w:hAnsi="Arial" w:cs="Arial"/>
                <w:i/>
                <w:sz w:val="18"/>
                <w:szCs w:val="18"/>
              </w:rPr>
              <w:t>For case 1, the LTE reference configuration can be Duty</w:t>
            </w:r>
            <w:r w:rsidRPr="00537FEB">
              <w:rPr>
                <w:rFonts w:ascii="Arial" w:hAnsi="Arial" w:cs="Arial"/>
                <w:i/>
                <w:sz w:val="18"/>
                <w:szCs w:val="18"/>
                <w:vertAlign w:val="subscript"/>
              </w:rPr>
              <w:t>LTE</w:t>
            </w:r>
            <w:r w:rsidRPr="00537FEB">
              <w:rPr>
                <w:rFonts w:ascii="Arial" w:hAnsi="Arial" w:cs="Arial"/>
                <w:i/>
                <w:sz w:val="18"/>
                <w:szCs w:val="18"/>
              </w:rPr>
              <w:t>=70%. The default value of NR UL duty capability can be 30% i.e. "Duty</w:t>
            </w:r>
            <w:r w:rsidRPr="00537FEB">
              <w:rPr>
                <w:rFonts w:ascii="Arial" w:hAnsi="Arial" w:cs="Arial"/>
                <w:i/>
                <w:sz w:val="18"/>
                <w:szCs w:val="18"/>
                <w:vertAlign w:val="subscript"/>
              </w:rPr>
              <w:t>LTE</w:t>
            </w:r>
            <w:r w:rsidRPr="00537FEB">
              <w:rPr>
                <w:rFonts w:ascii="Arial" w:hAnsi="Arial" w:cs="Arial"/>
                <w:i/>
                <w:sz w:val="18"/>
                <w:szCs w:val="18"/>
              </w:rPr>
              <w:t>=70% and P</w:t>
            </w:r>
            <w:r w:rsidRPr="00537FEB">
              <w:rPr>
                <w:rFonts w:ascii="Arial" w:hAnsi="Arial" w:cs="Arial"/>
                <w:i/>
                <w:sz w:val="18"/>
                <w:szCs w:val="18"/>
                <w:vertAlign w:val="subscript"/>
              </w:rPr>
              <w:t>LTE</w:t>
            </w:r>
            <w:r w:rsidRPr="00537FEB">
              <w:rPr>
                <w:rFonts w:ascii="Arial" w:hAnsi="Arial" w:cs="Arial"/>
                <w:i/>
                <w:sz w:val="18"/>
                <w:szCs w:val="18"/>
              </w:rPr>
              <w:t>=23dBm", corresponding to default Duty</w:t>
            </w:r>
            <w:r w:rsidRPr="00537FEB">
              <w:rPr>
                <w:rFonts w:ascii="Arial" w:hAnsi="Arial" w:cs="Arial"/>
                <w:i/>
                <w:sz w:val="18"/>
                <w:szCs w:val="18"/>
                <w:vertAlign w:val="subscript"/>
              </w:rPr>
              <w:t>NR</w:t>
            </w:r>
            <w:r w:rsidRPr="00537FEB">
              <w:rPr>
                <w:rFonts w:ascii="Arial" w:hAnsi="Arial" w:cs="Arial"/>
                <w:i/>
                <w:sz w:val="18"/>
                <w:szCs w:val="18"/>
              </w:rPr>
              <w:t>=30%, P</w:t>
            </w:r>
            <w:r w:rsidRPr="00537FEB">
              <w:rPr>
                <w:rFonts w:ascii="Arial" w:hAnsi="Arial" w:cs="Arial"/>
                <w:i/>
                <w:sz w:val="18"/>
                <w:szCs w:val="18"/>
                <w:vertAlign w:val="subscript"/>
              </w:rPr>
              <w:t>NR</w:t>
            </w:r>
            <w:r w:rsidRPr="00537FEB">
              <w:rPr>
                <w:rFonts w:ascii="Arial" w:hAnsi="Arial" w:cs="Arial"/>
                <w:i/>
                <w:sz w:val="18"/>
                <w:szCs w:val="18"/>
              </w:rPr>
              <w:t>=23dBm.</w:t>
            </w:r>
          </w:p>
          <w:p w14:paraId="3F4AC902" w14:textId="14172F98" w:rsidR="00BF12FE" w:rsidRPr="00BF12FE" w:rsidRDefault="00BF12FE" w:rsidP="00BF12FE">
            <w:pPr>
              <w:rPr>
                <w:rFonts w:ascii="Arial" w:eastAsia="宋体" w:hAnsi="Arial" w:cs="Arial"/>
                <w:i/>
                <w:sz w:val="18"/>
                <w:szCs w:val="18"/>
              </w:rPr>
            </w:pPr>
            <w:r>
              <w:rPr>
                <w:rFonts w:ascii="Arial" w:eastAsia="宋体" w:hAnsi="Arial" w:cs="Arial"/>
                <w:i/>
                <w:sz w:val="18"/>
                <w:szCs w:val="18"/>
              </w:rPr>
              <w:t>…</w:t>
            </w:r>
          </w:p>
          <w:p w14:paraId="5FD3FEBE" w14:textId="2221FBF5" w:rsidR="00537FEB" w:rsidRPr="005C3377" w:rsidRDefault="00537FEB" w:rsidP="00537FEB">
            <w:pPr>
              <w:spacing w:afterLines="50" w:after="120"/>
              <w:rPr>
                <w:rFonts w:ascii="Arial" w:eastAsia="PMingLiU" w:hAnsi="Arial" w:cs="Arial"/>
                <w:i/>
                <w:sz w:val="18"/>
                <w:szCs w:val="18"/>
                <w:lang w:eastAsia="zh-TW"/>
              </w:rPr>
            </w:pPr>
            <w:r w:rsidRPr="00537FEB">
              <w:rPr>
                <w:rFonts w:ascii="Arial" w:eastAsia="宋体" w:hAnsi="Arial" w:cs="Arial"/>
                <w:i/>
                <w:sz w:val="18"/>
                <w:szCs w:val="18"/>
              </w:rPr>
              <w:t>For case</w:t>
            </w:r>
            <w:r w:rsidRPr="00537FEB">
              <w:rPr>
                <w:rFonts w:ascii="Arial" w:eastAsia="PMingLiU" w:hAnsi="Arial" w:cs="Arial"/>
                <w:i/>
                <w:sz w:val="18"/>
                <w:szCs w:val="18"/>
                <w:lang w:eastAsia="zh-TW"/>
              </w:rPr>
              <w:t xml:space="preserve"> </w:t>
            </w:r>
            <w:r w:rsidRPr="00537FEB">
              <w:rPr>
                <w:rFonts w:ascii="Arial" w:eastAsia="宋体" w:hAnsi="Arial" w:cs="Arial"/>
                <w:i/>
                <w:sz w:val="18"/>
                <w:szCs w:val="18"/>
              </w:rPr>
              <w:t xml:space="preserve">2, the LTE reference configuration can be </w:t>
            </w:r>
            <w:r w:rsidRPr="00537FEB">
              <w:rPr>
                <w:rFonts w:ascii="Arial" w:hAnsi="Arial" w:cs="Arial"/>
                <w:i/>
                <w:sz w:val="18"/>
                <w:szCs w:val="18"/>
              </w:rPr>
              <w:t>Duty</w:t>
            </w:r>
            <w:r w:rsidRPr="00537FEB">
              <w:rPr>
                <w:rFonts w:ascii="Arial" w:hAnsi="Arial" w:cs="Arial"/>
                <w:i/>
                <w:sz w:val="18"/>
                <w:szCs w:val="18"/>
                <w:vertAlign w:val="subscript"/>
              </w:rPr>
              <w:t>LTE</w:t>
            </w:r>
            <w:r w:rsidRPr="00537FEB">
              <w:rPr>
                <w:rFonts w:ascii="Arial" w:eastAsia="宋体" w:hAnsi="Arial" w:cs="Arial"/>
                <w:i/>
                <w:sz w:val="18"/>
                <w:szCs w:val="18"/>
              </w:rPr>
              <w:t xml:space="preserve">=40%. The default value of NR </w:t>
            </w:r>
            <w:r w:rsidRPr="00537FEB">
              <w:rPr>
                <w:rFonts w:ascii="Arial" w:eastAsia="PMingLiU" w:hAnsi="Arial" w:cs="Arial"/>
                <w:i/>
                <w:sz w:val="18"/>
                <w:szCs w:val="18"/>
                <w:lang w:eastAsia="zh-TW"/>
              </w:rPr>
              <w:t xml:space="preserve">UL </w:t>
            </w:r>
            <w:r w:rsidRPr="00537FEB">
              <w:rPr>
                <w:rFonts w:ascii="Arial" w:eastAsia="宋体" w:hAnsi="Arial" w:cs="Arial"/>
                <w:i/>
                <w:sz w:val="18"/>
                <w:szCs w:val="18"/>
              </w:rPr>
              <w:t xml:space="preserve">duty capability can be 30% i.e. </w:t>
            </w:r>
            <w:r w:rsidRPr="00537FEB">
              <w:rPr>
                <w:rFonts w:ascii="Arial" w:eastAsia="宋体" w:hAnsi="Arial" w:cs="Arial"/>
                <w:i/>
                <w:sz w:val="18"/>
                <w:szCs w:val="18"/>
                <w:lang w:val="en-US"/>
              </w:rPr>
              <w:t>"</w:t>
            </w:r>
            <w:r w:rsidRPr="00537FEB">
              <w:rPr>
                <w:rFonts w:ascii="Arial" w:eastAsia="宋体" w:hAnsi="Arial" w:cs="Arial"/>
                <w:i/>
                <w:sz w:val="18"/>
                <w:szCs w:val="18"/>
              </w:rPr>
              <w:t>Duty</w:t>
            </w:r>
            <w:r w:rsidRPr="00537FEB">
              <w:rPr>
                <w:rFonts w:ascii="Arial" w:eastAsia="宋体" w:hAnsi="Arial" w:cs="Arial"/>
                <w:i/>
                <w:sz w:val="18"/>
                <w:szCs w:val="18"/>
                <w:vertAlign w:val="subscript"/>
              </w:rPr>
              <w:t>LTE</w:t>
            </w:r>
            <w:r w:rsidRPr="00537FEB">
              <w:rPr>
                <w:rFonts w:ascii="Arial" w:eastAsia="宋体" w:hAnsi="Arial" w:cs="Arial"/>
                <w:i/>
                <w:sz w:val="18"/>
                <w:szCs w:val="18"/>
              </w:rPr>
              <w:t>=40% and P</w:t>
            </w:r>
            <w:r w:rsidRPr="00537FEB">
              <w:rPr>
                <w:rFonts w:ascii="Arial" w:eastAsia="宋体" w:hAnsi="Arial" w:cs="Arial"/>
                <w:i/>
                <w:sz w:val="18"/>
                <w:szCs w:val="18"/>
                <w:vertAlign w:val="subscript"/>
              </w:rPr>
              <w:t>LTE</w:t>
            </w:r>
            <w:r w:rsidRPr="00537FEB">
              <w:rPr>
                <w:rFonts w:ascii="Arial" w:eastAsia="宋体" w:hAnsi="Arial" w:cs="Arial"/>
                <w:i/>
                <w:sz w:val="18"/>
                <w:szCs w:val="18"/>
              </w:rPr>
              <w:t xml:space="preserve">=23dBm", corresponding to </w:t>
            </w:r>
            <w:r w:rsidRPr="00537FEB">
              <w:rPr>
                <w:rFonts w:ascii="Arial" w:hAnsi="Arial" w:cs="Arial"/>
                <w:i/>
                <w:color w:val="000000"/>
                <w:kern w:val="24"/>
                <w:sz w:val="18"/>
                <w:szCs w:val="18"/>
              </w:rPr>
              <w:t xml:space="preserve">default </w:t>
            </w:r>
            <w:r w:rsidRPr="00537FEB">
              <w:rPr>
                <w:rFonts w:ascii="Arial" w:eastAsia="宋体" w:hAnsi="Arial" w:cs="Arial"/>
                <w:i/>
                <w:sz w:val="18"/>
                <w:szCs w:val="18"/>
              </w:rPr>
              <w:t>Duty</w:t>
            </w:r>
            <w:r w:rsidRPr="00537FEB">
              <w:rPr>
                <w:rFonts w:ascii="Arial" w:eastAsia="宋体" w:hAnsi="Arial" w:cs="Arial"/>
                <w:i/>
                <w:sz w:val="18"/>
                <w:szCs w:val="18"/>
                <w:vertAlign w:val="subscript"/>
              </w:rPr>
              <w:t>NR</w:t>
            </w:r>
            <w:r w:rsidRPr="00537FEB">
              <w:rPr>
                <w:rFonts w:ascii="Arial" w:eastAsia="宋体" w:hAnsi="Arial" w:cs="Arial"/>
                <w:i/>
                <w:sz w:val="18"/>
                <w:szCs w:val="18"/>
              </w:rPr>
              <w:t>=30%, P</w:t>
            </w:r>
            <w:r w:rsidRPr="00537FEB">
              <w:rPr>
                <w:rFonts w:ascii="Arial" w:eastAsia="宋体" w:hAnsi="Arial" w:cs="Arial"/>
                <w:i/>
                <w:sz w:val="18"/>
                <w:szCs w:val="18"/>
                <w:vertAlign w:val="subscript"/>
              </w:rPr>
              <w:t>NR</w:t>
            </w:r>
            <w:r w:rsidRPr="00537FEB">
              <w:rPr>
                <w:rFonts w:ascii="Arial" w:eastAsia="宋体" w:hAnsi="Arial" w:cs="Arial"/>
                <w:i/>
                <w:sz w:val="18"/>
                <w:szCs w:val="18"/>
              </w:rPr>
              <w:t>=26dBm</w:t>
            </w:r>
            <w:r w:rsidRPr="00537FEB">
              <w:rPr>
                <w:rFonts w:ascii="Arial" w:eastAsia="PMingLiU" w:hAnsi="Arial" w:cs="Arial"/>
                <w:i/>
                <w:sz w:val="18"/>
                <w:szCs w:val="18"/>
                <w:lang w:eastAsia="zh-TW"/>
              </w:rPr>
              <w:t>.</w:t>
            </w:r>
          </w:p>
        </w:tc>
      </w:tr>
    </w:tbl>
    <w:p w14:paraId="3BE65DC8" w14:textId="5D32D692" w:rsidR="00877E7A" w:rsidRPr="00D244AC" w:rsidRDefault="00537FEB" w:rsidP="00877E7A">
      <w:pPr>
        <w:rPr>
          <w:rFonts w:ascii="Arial" w:eastAsia="PMingLiU" w:hAnsi="Arial" w:cs="Arial"/>
          <w:color w:val="000000" w:themeColor="text1"/>
          <w:lang w:val="en-US" w:eastAsia="zh-TW"/>
        </w:rPr>
      </w:pPr>
      <w:r>
        <w:rPr>
          <w:rFonts w:ascii="Arial" w:hAnsi="Arial" w:cs="Arial"/>
          <w:color w:val="000000" w:themeColor="text1"/>
          <w:lang w:val="en-US"/>
        </w:rPr>
        <w:t>Based on above logic, w</w:t>
      </w:r>
      <w:r w:rsidR="00A230B8" w:rsidRPr="00D244AC">
        <w:rPr>
          <w:rFonts w:ascii="Arial" w:hAnsi="Arial" w:cs="Arial"/>
          <w:color w:val="000000" w:themeColor="text1"/>
          <w:lang w:val="en-US"/>
        </w:rPr>
        <w:t>hen</w:t>
      </w:r>
      <w:r w:rsidR="00877E7A" w:rsidRPr="00D244AC">
        <w:rPr>
          <w:rFonts w:ascii="Arial" w:hAnsi="Arial" w:cs="Arial"/>
          <w:color w:val="000000" w:themeColor="text1"/>
          <w:lang w:val="en-US"/>
        </w:rPr>
        <w:t xml:space="preserve"> </w:t>
      </w:r>
      <w:r w:rsidR="00877E7A" w:rsidRPr="00D244AC">
        <w:rPr>
          <w:rFonts w:ascii="Arial" w:eastAsia="PMingLiU" w:hAnsi="Arial" w:cs="Arial"/>
          <w:color w:val="000000" w:themeColor="text1"/>
          <w:lang w:eastAsia="zh-TW"/>
        </w:rPr>
        <w:t xml:space="preserve">UE capability set is </w:t>
      </w:r>
      <w:r w:rsidR="0047037A">
        <w:rPr>
          <w:rFonts w:ascii="Arial" w:eastAsia="PMingLiU" w:hAnsi="Arial" w:cs="Arial"/>
          <w:color w:val="000000" w:themeColor="text1"/>
          <w:lang w:eastAsia="zh-TW"/>
        </w:rPr>
        <w:t>not provided</w:t>
      </w:r>
      <w:r w:rsidR="00877E7A" w:rsidRPr="00D244AC">
        <w:rPr>
          <w:rFonts w:ascii="Arial" w:eastAsia="PMingLiU" w:hAnsi="Arial" w:cs="Arial"/>
          <w:color w:val="000000" w:themeColor="text1"/>
          <w:lang w:eastAsia="zh-TW"/>
        </w:rPr>
        <w:t xml:space="preserve">, </w:t>
      </w:r>
      <w:r w:rsidR="0047037A">
        <w:rPr>
          <w:rFonts w:ascii="Arial" w:eastAsia="PMingLiU" w:hAnsi="Arial" w:cs="Arial"/>
          <w:color w:val="000000" w:themeColor="text1"/>
          <w:lang w:val="en-US" w:eastAsia="zh-TW"/>
        </w:rPr>
        <w:t>suggestion</w:t>
      </w:r>
      <w:r>
        <w:rPr>
          <w:rFonts w:ascii="Arial" w:eastAsia="PMingLiU" w:hAnsi="Arial" w:cs="Arial"/>
          <w:color w:val="000000" w:themeColor="text1"/>
          <w:lang w:val="en-US" w:eastAsia="zh-TW"/>
        </w:rPr>
        <w:t xml:space="preserve"> the </w:t>
      </w:r>
      <w:r w:rsidR="004F2E9A" w:rsidRPr="00D244AC">
        <w:rPr>
          <w:rFonts w:ascii="Arial" w:eastAsia="PMingLiU" w:hAnsi="Arial" w:cs="Arial"/>
          <w:color w:val="000000" w:themeColor="text1"/>
          <w:lang w:val="en-US" w:eastAsia="zh-TW"/>
        </w:rPr>
        <w:t>UE behavio</w:t>
      </w:r>
      <w:r w:rsidR="00600D2C" w:rsidRPr="00D244AC">
        <w:rPr>
          <w:rFonts w:ascii="Arial" w:eastAsia="PMingLiU" w:hAnsi="Arial" w:cs="Arial"/>
          <w:color w:val="000000" w:themeColor="text1"/>
          <w:lang w:val="en-US" w:eastAsia="zh-TW"/>
        </w:rPr>
        <w:t>ur</w:t>
      </w:r>
      <w:r w:rsidR="004F2E9A" w:rsidRPr="00D244AC">
        <w:rPr>
          <w:rFonts w:ascii="Arial" w:eastAsia="PMingLiU" w:hAnsi="Arial" w:cs="Arial"/>
          <w:color w:val="000000" w:themeColor="text1"/>
          <w:lang w:val="en-US" w:eastAsia="zh-TW"/>
        </w:rPr>
        <w:t xml:space="preserve"> </w:t>
      </w:r>
      <w:r w:rsidR="00877E7A" w:rsidRPr="00D244AC">
        <w:rPr>
          <w:rFonts w:ascii="Arial" w:eastAsia="PMingLiU" w:hAnsi="Arial" w:cs="Arial"/>
          <w:color w:val="000000" w:themeColor="text1"/>
          <w:lang w:val="en-US" w:eastAsia="zh-TW"/>
        </w:rPr>
        <w:t>among NR SA, TDD-TDD ENDC and FDD-TDD ENDC sh</w:t>
      </w:r>
      <w:r w:rsidR="00FF2580" w:rsidRPr="00D244AC">
        <w:rPr>
          <w:rFonts w:ascii="Arial" w:eastAsia="PMingLiU" w:hAnsi="Arial" w:cs="Arial"/>
          <w:color w:val="000000" w:themeColor="text1"/>
          <w:lang w:val="en-US" w:eastAsia="zh-TW"/>
        </w:rPr>
        <w:t xml:space="preserve">ould be </w:t>
      </w:r>
      <w:r w:rsidR="00C64CD9" w:rsidRPr="00D244AC">
        <w:rPr>
          <w:rFonts w:ascii="Arial" w:eastAsia="PMingLiU" w:hAnsi="Arial" w:cs="Arial"/>
          <w:color w:val="000000" w:themeColor="text1"/>
          <w:lang w:val="en-US" w:eastAsia="zh-TW"/>
        </w:rPr>
        <w:t>consistent as much as possi</w:t>
      </w:r>
      <w:r w:rsidR="004F2E9A" w:rsidRPr="00D244AC">
        <w:rPr>
          <w:rFonts w:ascii="Arial" w:eastAsia="PMingLiU" w:hAnsi="Arial" w:cs="Arial"/>
          <w:color w:val="000000" w:themeColor="text1"/>
          <w:lang w:val="en-US" w:eastAsia="zh-TW"/>
        </w:rPr>
        <w:t xml:space="preserve">ble </w:t>
      </w:r>
      <w:r w:rsidR="0047037A">
        <w:rPr>
          <w:rFonts w:ascii="Arial" w:eastAsia="PMingLiU" w:hAnsi="Arial" w:cs="Arial"/>
          <w:color w:val="000000" w:themeColor="text1"/>
          <w:lang w:val="en-US" w:eastAsia="zh-TW"/>
        </w:rPr>
        <w:t>in case</w:t>
      </w:r>
      <w:r w:rsidR="004F2E9A" w:rsidRPr="00D244AC">
        <w:rPr>
          <w:rFonts w:ascii="Arial" w:eastAsia="PMingLiU" w:hAnsi="Arial" w:cs="Arial"/>
          <w:color w:val="000000" w:themeColor="text1"/>
          <w:lang w:val="en-US" w:eastAsia="zh-TW"/>
        </w:rPr>
        <w:t xml:space="preserve"> </w:t>
      </w:r>
      <w:r w:rsidR="004F2E9A" w:rsidRPr="00D244AC">
        <w:rPr>
          <w:rFonts w:ascii="Arial" w:hAnsi="Arial" w:cs="Arial"/>
          <w:lang w:val="en-US" w:eastAsia="zh-CN"/>
        </w:rPr>
        <w:t>using default value of maxNRDuty</w:t>
      </w:r>
      <w:r w:rsidR="00116CE5" w:rsidRPr="00D244AC">
        <w:rPr>
          <w:rFonts w:ascii="Arial" w:hAnsi="Arial" w:cs="Arial"/>
          <w:lang w:val="en-US" w:eastAsia="zh-CN"/>
        </w:rPr>
        <w:t xml:space="preserve"> set</w:t>
      </w:r>
      <w:r w:rsidR="004F2E9A" w:rsidRPr="00D244AC">
        <w:rPr>
          <w:rFonts w:ascii="Arial" w:hAnsi="Arial" w:cs="Arial"/>
          <w:lang w:val="en-US" w:eastAsia="zh-CN"/>
        </w:rPr>
        <w:t xml:space="preserve"> for two cases of </w:t>
      </w:r>
      <w:r w:rsidR="00D80E9B" w:rsidRPr="00D244AC">
        <w:rPr>
          <w:rFonts w:ascii="Arial" w:hAnsi="Arial" w:cs="Arial"/>
          <w:lang w:val="en-US" w:eastAsia="zh-CN"/>
        </w:rPr>
        <w:t xml:space="preserve">FDD </w:t>
      </w:r>
      <w:r w:rsidR="004F2E9A" w:rsidRPr="00D244AC">
        <w:rPr>
          <w:rFonts w:ascii="Arial" w:hAnsi="Arial" w:cs="Arial"/>
          <w:lang w:val="en-US" w:eastAsia="zh-CN"/>
        </w:rPr>
        <w:t xml:space="preserve">LTE and NR </w:t>
      </w:r>
      <w:r w:rsidR="00D80E9B" w:rsidRPr="00D244AC">
        <w:rPr>
          <w:rFonts w:ascii="Arial" w:hAnsi="Arial" w:cs="Arial"/>
          <w:lang w:val="en-US" w:eastAsia="zh-CN"/>
        </w:rPr>
        <w:t>band</w:t>
      </w:r>
      <w:r w:rsidR="004F2E9A" w:rsidRPr="00D244AC">
        <w:rPr>
          <w:rFonts w:ascii="Arial" w:hAnsi="Arial" w:cs="Arial"/>
          <w:lang w:val="en-US" w:eastAsia="zh-CN"/>
        </w:rPr>
        <w:t xml:space="preserve"> combination.</w:t>
      </w:r>
    </w:p>
    <w:p w14:paraId="2F572CF6" w14:textId="72F15FA2" w:rsidR="009653B8" w:rsidRPr="00D244AC" w:rsidRDefault="009653B8" w:rsidP="007148F5">
      <w:pPr>
        <w:overflowPunct/>
        <w:autoSpaceDE/>
        <w:autoSpaceDN/>
        <w:adjustRightInd/>
        <w:spacing w:beforeLines="50" w:before="120"/>
        <w:textAlignment w:val="auto"/>
        <w:rPr>
          <w:rFonts w:ascii="Arial" w:eastAsia="宋体" w:hAnsi="Arial" w:cs="Arial"/>
          <w:color w:val="000000" w:themeColor="text1"/>
          <w:lang w:eastAsia="zh-CN"/>
        </w:rPr>
      </w:pPr>
      <w:r w:rsidRPr="00D244AC">
        <w:rPr>
          <w:rFonts w:ascii="Arial" w:eastAsia="宋体" w:hAnsi="Arial" w:cs="Arial"/>
          <w:color w:val="000000" w:themeColor="text1"/>
          <w:lang w:eastAsia="zh-CN"/>
        </w:rPr>
        <w:t xml:space="preserve">For option 2: </w:t>
      </w:r>
    </w:p>
    <w:p w14:paraId="6007A442" w14:textId="77777777" w:rsidR="00B259D0" w:rsidRDefault="00ED0951" w:rsidP="001404E8">
      <w:pPr>
        <w:overflowPunct/>
        <w:autoSpaceDE/>
        <w:autoSpaceDN/>
        <w:adjustRightInd/>
        <w:spacing w:beforeLines="50" w:before="120"/>
        <w:textAlignment w:val="auto"/>
        <w:rPr>
          <w:rFonts w:ascii="Arial" w:eastAsia="宋体" w:hAnsi="Arial" w:cs="Arial"/>
          <w:color w:val="000000" w:themeColor="text1"/>
          <w:lang w:eastAsia="zh-CN"/>
        </w:rPr>
      </w:pPr>
      <w:r w:rsidRPr="00D244AC">
        <w:rPr>
          <w:rFonts w:ascii="Arial" w:eastAsia="宋体" w:hAnsi="Arial" w:cs="Arial"/>
          <w:color w:val="000000" w:themeColor="text1"/>
          <w:lang w:eastAsia="zh-CN"/>
        </w:rPr>
        <w:t>During the study item</w:t>
      </w:r>
      <w:r w:rsidR="00FF2580" w:rsidRPr="00D244AC">
        <w:rPr>
          <w:rFonts w:ascii="Arial" w:eastAsia="宋体" w:hAnsi="Arial" w:cs="Arial"/>
          <w:color w:val="000000" w:themeColor="text1"/>
          <w:lang w:eastAsia="zh-CN"/>
        </w:rPr>
        <w:t xml:space="preserve"> phase</w:t>
      </w:r>
      <w:r w:rsidRPr="00D244AC">
        <w:rPr>
          <w:rFonts w:ascii="Arial" w:eastAsia="宋体" w:hAnsi="Arial" w:cs="Arial"/>
          <w:color w:val="000000" w:themeColor="text1"/>
          <w:lang w:eastAsia="zh-CN"/>
        </w:rPr>
        <w:t>, RAN4 identified that network-configuration-based scheme in which the HPUE set its total EN-DC power based on higher-layer signalling could also provide the alternative methodology for PC2 FDD-TDD EN-DC HPUE SAR requirement compliance without explicit 3GPP specification impact and without need for signalling and cell-group coordination</w:t>
      </w:r>
      <w:r w:rsidR="001404E8" w:rsidRPr="00D244AC">
        <w:rPr>
          <w:rFonts w:ascii="Arial" w:eastAsia="宋体" w:hAnsi="Arial" w:cs="Arial"/>
          <w:color w:val="000000" w:themeColor="text1"/>
          <w:lang w:eastAsia="zh-CN"/>
        </w:rPr>
        <w:t>.</w:t>
      </w:r>
      <w:r w:rsidR="00FF2580" w:rsidRPr="00D244AC">
        <w:rPr>
          <w:rFonts w:ascii="Arial" w:eastAsia="宋体" w:hAnsi="Arial" w:cs="Arial"/>
          <w:color w:val="000000" w:themeColor="text1"/>
          <w:lang w:eastAsia="zh-CN"/>
        </w:rPr>
        <w:t xml:space="preserve"> </w:t>
      </w:r>
    </w:p>
    <w:p w14:paraId="4A95D9D8" w14:textId="519E4D4B" w:rsidR="0088598A" w:rsidRDefault="00FF2580" w:rsidP="001404E8">
      <w:pPr>
        <w:overflowPunct/>
        <w:autoSpaceDE/>
        <w:autoSpaceDN/>
        <w:adjustRightInd/>
        <w:spacing w:beforeLines="50" w:before="120"/>
        <w:textAlignment w:val="auto"/>
        <w:rPr>
          <w:rFonts w:ascii="Arial" w:eastAsia="宋体" w:hAnsi="Arial" w:cs="Arial"/>
          <w:color w:val="000000" w:themeColor="text1"/>
          <w:lang w:eastAsia="zh-CN"/>
        </w:rPr>
      </w:pPr>
      <w:r w:rsidRPr="00D244AC">
        <w:rPr>
          <w:rFonts w:ascii="Arial" w:eastAsia="宋体" w:hAnsi="Arial" w:cs="Arial"/>
          <w:color w:val="000000" w:themeColor="text1"/>
          <w:lang w:eastAsia="zh-CN"/>
        </w:rPr>
        <w:t>During</w:t>
      </w:r>
      <w:r w:rsidR="001404E8" w:rsidRPr="00D244AC">
        <w:rPr>
          <w:rFonts w:ascii="Arial" w:eastAsia="宋体" w:hAnsi="Arial" w:cs="Arial"/>
          <w:color w:val="000000" w:themeColor="text1"/>
          <w:lang w:eastAsia="zh-CN"/>
        </w:rPr>
        <w:t xml:space="preserve"> </w:t>
      </w:r>
      <w:r w:rsidRPr="00D244AC">
        <w:rPr>
          <w:rFonts w:ascii="Arial" w:eastAsia="宋体" w:hAnsi="Arial" w:cs="Arial"/>
          <w:color w:val="000000" w:themeColor="text1"/>
          <w:lang w:eastAsia="zh-CN"/>
        </w:rPr>
        <w:t xml:space="preserve">the </w:t>
      </w:r>
      <w:r w:rsidR="001404E8" w:rsidRPr="00D244AC">
        <w:rPr>
          <w:rFonts w:ascii="Arial" w:eastAsia="宋体" w:hAnsi="Arial" w:cs="Arial"/>
          <w:color w:val="000000" w:themeColor="text1"/>
          <w:lang w:eastAsia="zh-CN"/>
        </w:rPr>
        <w:t xml:space="preserve">last meeting, </w:t>
      </w:r>
      <w:r w:rsidRPr="00D244AC">
        <w:rPr>
          <w:rFonts w:ascii="Arial" w:eastAsia="宋体" w:hAnsi="Arial" w:cs="Arial"/>
          <w:color w:val="000000" w:themeColor="text1"/>
          <w:lang w:eastAsia="zh-CN"/>
        </w:rPr>
        <w:t xml:space="preserve">the </w:t>
      </w:r>
      <w:r w:rsidR="001404E8" w:rsidRPr="00D244AC">
        <w:rPr>
          <w:rFonts w:ascii="Arial" w:eastAsia="宋体" w:hAnsi="Arial" w:cs="Arial"/>
          <w:color w:val="000000" w:themeColor="text1"/>
          <w:lang w:eastAsia="zh-CN"/>
        </w:rPr>
        <w:t xml:space="preserve">blind scheme </w:t>
      </w:r>
      <w:r w:rsidR="004B5ACB">
        <w:rPr>
          <w:rFonts w:ascii="Arial" w:eastAsia="宋体" w:hAnsi="Arial" w:cs="Arial"/>
          <w:color w:val="000000" w:themeColor="text1"/>
          <w:lang w:eastAsia="zh-CN"/>
        </w:rPr>
        <w:t xml:space="preserve">was proposed </w:t>
      </w:r>
      <w:r w:rsidR="0088598A">
        <w:rPr>
          <w:rFonts w:ascii="Arial" w:eastAsia="宋体" w:hAnsi="Arial" w:cs="Arial"/>
          <w:color w:val="000000" w:themeColor="text1"/>
          <w:lang w:eastAsia="zh-CN"/>
        </w:rPr>
        <w:t xml:space="preserve">and </w:t>
      </w:r>
      <w:r w:rsidR="004B5ACB">
        <w:rPr>
          <w:rFonts w:ascii="Arial" w:eastAsia="宋体" w:hAnsi="Arial" w:cs="Arial"/>
          <w:color w:val="000000" w:themeColor="text1"/>
          <w:lang w:eastAsia="zh-CN"/>
        </w:rPr>
        <w:t xml:space="preserve">the specific </w:t>
      </w:r>
      <w:r w:rsidR="0088598A">
        <w:rPr>
          <w:rFonts w:ascii="Arial" w:eastAsia="宋体" w:hAnsi="Arial" w:cs="Arial"/>
          <w:color w:val="000000" w:themeColor="text1"/>
          <w:lang w:eastAsia="zh-CN"/>
        </w:rPr>
        <w:t>configured</w:t>
      </w:r>
      <w:r w:rsidR="004B5ACB">
        <w:rPr>
          <w:rFonts w:ascii="Arial" w:eastAsia="宋体" w:hAnsi="Arial" w:cs="Arial"/>
          <w:color w:val="000000" w:themeColor="text1"/>
          <w:lang w:eastAsia="zh-CN"/>
        </w:rPr>
        <w:t xml:space="preserve"> power decision tree was excerpted from contribution [4] as follows: </w:t>
      </w:r>
    </w:p>
    <w:tbl>
      <w:tblPr>
        <w:tblStyle w:val="aa"/>
        <w:tblW w:w="0" w:type="auto"/>
        <w:jc w:val="center"/>
        <w:tblLook w:val="04A0" w:firstRow="1" w:lastRow="0" w:firstColumn="1" w:lastColumn="0" w:noHBand="0" w:noVBand="1"/>
      </w:tblPr>
      <w:tblGrid>
        <w:gridCol w:w="6516"/>
      </w:tblGrid>
      <w:tr w:rsidR="005C3377" w14:paraId="502765D7" w14:textId="77777777" w:rsidTr="0039799C">
        <w:trPr>
          <w:trHeight w:val="1787"/>
          <w:jc w:val="center"/>
        </w:trPr>
        <w:tc>
          <w:tcPr>
            <w:tcW w:w="6516" w:type="dxa"/>
          </w:tcPr>
          <w:p w14:paraId="78FE559D" w14:textId="3EF5F8B2" w:rsidR="0088598A" w:rsidRDefault="0039799C" w:rsidP="002B25C8">
            <w:pPr>
              <w:overflowPunct/>
              <w:autoSpaceDE/>
              <w:autoSpaceDN/>
              <w:adjustRightInd/>
              <w:spacing w:beforeLines="50" w:before="120"/>
              <w:textAlignment w:val="auto"/>
              <w:rPr>
                <w:rFonts w:ascii="Arial" w:eastAsia="宋体" w:hAnsi="Arial" w:cs="Arial"/>
                <w:color w:val="000000" w:themeColor="text1"/>
              </w:rPr>
            </w:pPr>
            <w:r w:rsidRPr="00FC48EB">
              <w:rPr>
                <w:noProof/>
                <w:lang w:val="en-US"/>
              </w:rPr>
              <w:drawing>
                <wp:inline distT="0" distB="0" distL="0" distR="0" wp14:anchorId="7D528F84" wp14:editId="1F921F62">
                  <wp:extent cx="3997442" cy="3787422"/>
                  <wp:effectExtent l="0" t="0" r="317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3717" cy="3821792"/>
                          </a:xfrm>
                          <a:prstGeom prst="rect">
                            <a:avLst/>
                          </a:prstGeom>
                          <a:noFill/>
                          <a:ln>
                            <a:noFill/>
                          </a:ln>
                        </pic:spPr>
                      </pic:pic>
                    </a:graphicData>
                  </a:graphic>
                </wp:inline>
              </w:drawing>
            </w:r>
          </w:p>
        </w:tc>
      </w:tr>
    </w:tbl>
    <w:p w14:paraId="43CAAA93" w14:textId="6D456553" w:rsidR="0039799C" w:rsidRDefault="0039799C" w:rsidP="0039799C">
      <w:pPr>
        <w:overflowPunct/>
        <w:autoSpaceDE/>
        <w:autoSpaceDN/>
        <w:adjustRightInd/>
        <w:spacing w:beforeLines="50" w:before="120"/>
        <w:jc w:val="center"/>
        <w:textAlignment w:val="auto"/>
        <w:rPr>
          <w:rFonts w:ascii="Arial" w:eastAsia="宋体" w:hAnsi="Arial" w:cs="Arial"/>
          <w:color w:val="000000" w:themeColor="text1"/>
          <w:lang w:eastAsia="zh-CN"/>
        </w:rPr>
      </w:pPr>
      <w:r>
        <w:t xml:space="preserve">Figure </w:t>
      </w:r>
      <w:r>
        <w:fldChar w:fldCharType="begin"/>
      </w:r>
      <w:r>
        <w:instrText xml:space="preserve"> SEQ Figure \* ARABIC </w:instrText>
      </w:r>
      <w:r>
        <w:fldChar w:fldCharType="separate"/>
      </w:r>
      <w:r>
        <w:rPr>
          <w:noProof/>
        </w:rPr>
        <w:t>1</w:t>
      </w:r>
      <w:r>
        <w:fldChar w:fldCharType="end"/>
      </w:r>
      <w:r w:rsidR="004F1A05">
        <w:t xml:space="preserve"> copied from paper [4]:</w:t>
      </w:r>
      <w:r w:rsidR="008F13A7">
        <w:t xml:space="preserve"> </w:t>
      </w:r>
      <w:r>
        <w:t>Power class and configured power decision tree</w:t>
      </w:r>
    </w:p>
    <w:p w14:paraId="7C305C9E" w14:textId="202CA4D8" w:rsidR="00FF2580" w:rsidRPr="00D244AC" w:rsidRDefault="005842F6" w:rsidP="001404E8">
      <w:pPr>
        <w:overflowPunct/>
        <w:autoSpaceDE/>
        <w:autoSpaceDN/>
        <w:adjustRightInd/>
        <w:spacing w:beforeLines="50" w:before="120"/>
        <w:textAlignment w:val="auto"/>
        <w:rPr>
          <w:rFonts w:ascii="Arial" w:eastAsia="宋体" w:hAnsi="Arial" w:cs="Arial"/>
          <w:color w:val="000000" w:themeColor="text1"/>
          <w:lang w:eastAsia="zh-CN"/>
        </w:rPr>
      </w:pPr>
      <w:r>
        <w:rPr>
          <w:rFonts w:ascii="Arial" w:eastAsia="宋体" w:hAnsi="Arial" w:cs="Arial"/>
          <w:color w:val="000000" w:themeColor="text1"/>
          <w:lang w:eastAsia="zh-CN"/>
        </w:rPr>
        <w:lastRenderedPageBreak/>
        <w:t xml:space="preserve">The </w:t>
      </w:r>
      <w:r w:rsidR="006E53FD" w:rsidRPr="00D244AC">
        <w:rPr>
          <w:rFonts w:ascii="Arial" w:eastAsia="宋体" w:hAnsi="Arial" w:cs="Arial"/>
          <w:color w:val="000000" w:themeColor="text1"/>
          <w:lang w:eastAsia="zh-CN"/>
        </w:rPr>
        <w:t>scheme is specified as reducing UE LTE FDD power by configuring a total EN-DC power greater than 23dBm using the common UL-DL patte</w:t>
      </w:r>
      <w:r w:rsidR="00600D2C" w:rsidRPr="00D244AC">
        <w:rPr>
          <w:rFonts w:ascii="Arial" w:eastAsia="宋体" w:hAnsi="Arial" w:cs="Arial"/>
          <w:color w:val="000000" w:themeColor="text1"/>
          <w:lang w:eastAsia="zh-CN"/>
        </w:rPr>
        <w:t>r</w:t>
      </w:r>
      <w:r w:rsidR="006E53FD" w:rsidRPr="00D244AC">
        <w:rPr>
          <w:rFonts w:ascii="Arial" w:eastAsia="宋体" w:hAnsi="Arial" w:cs="Arial"/>
          <w:color w:val="000000" w:themeColor="text1"/>
          <w:lang w:eastAsia="zh-CN"/>
        </w:rPr>
        <w:t xml:space="preserve">ns on the TDD CG when LTE FDD power less than 23dBm. This </w:t>
      </w:r>
      <w:r w:rsidR="00B66403" w:rsidRPr="00D244AC">
        <w:rPr>
          <w:rFonts w:ascii="Arial" w:eastAsia="宋体" w:hAnsi="Arial" w:cs="Arial"/>
          <w:color w:val="000000" w:themeColor="text1"/>
          <w:lang w:eastAsia="zh-CN"/>
        </w:rPr>
        <w:t xml:space="preserve">blind </w:t>
      </w:r>
      <w:r w:rsidR="006E53FD" w:rsidRPr="00D244AC">
        <w:rPr>
          <w:rFonts w:ascii="Arial" w:eastAsia="宋体" w:hAnsi="Arial" w:cs="Arial"/>
          <w:color w:val="000000" w:themeColor="text1"/>
          <w:lang w:eastAsia="zh-CN"/>
        </w:rPr>
        <w:t xml:space="preserve">scheme is also </w:t>
      </w:r>
      <w:r w:rsidR="00B259D0">
        <w:rPr>
          <w:rFonts w:ascii="Arial" w:eastAsia="宋体" w:hAnsi="Arial" w:cs="Arial"/>
          <w:color w:val="000000" w:themeColor="text1"/>
          <w:lang w:eastAsia="zh-CN"/>
        </w:rPr>
        <w:t>applicable to specify</w:t>
      </w:r>
      <w:r w:rsidR="00600D2C" w:rsidRPr="00D244AC">
        <w:rPr>
          <w:rFonts w:ascii="Arial" w:eastAsia="宋体" w:hAnsi="Arial" w:cs="Arial"/>
          <w:color w:val="000000" w:themeColor="text1"/>
          <w:lang w:eastAsia="zh-CN"/>
        </w:rPr>
        <w:t xml:space="preserve"> the UE behaviour for SAR requirement compliance when the maxNRDuty set </w:t>
      </w:r>
      <w:r w:rsidR="00B259D0">
        <w:rPr>
          <w:rFonts w:ascii="Arial" w:eastAsia="宋体" w:hAnsi="Arial" w:cs="Arial"/>
          <w:color w:val="000000" w:themeColor="text1"/>
          <w:lang w:eastAsia="zh-CN"/>
        </w:rPr>
        <w:t xml:space="preserve">is </w:t>
      </w:r>
      <w:r w:rsidR="00600D2C" w:rsidRPr="00D244AC">
        <w:rPr>
          <w:rFonts w:ascii="Arial" w:eastAsia="宋体" w:hAnsi="Arial" w:cs="Arial"/>
          <w:color w:val="000000" w:themeColor="text1"/>
          <w:lang w:eastAsia="zh-CN"/>
        </w:rPr>
        <w:t>not signalled.</w:t>
      </w:r>
    </w:p>
    <w:p w14:paraId="236FFE86" w14:textId="33764912" w:rsidR="00B66403" w:rsidRPr="00D244AC" w:rsidRDefault="00D46F7B" w:rsidP="001404E8">
      <w:pPr>
        <w:overflowPunct/>
        <w:autoSpaceDE/>
        <w:autoSpaceDN/>
        <w:adjustRightInd/>
        <w:spacing w:beforeLines="50" w:before="120"/>
        <w:textAlignment w:val="auto"/>
        <w:rPr>
          <w:rFonts w:ascii="Arial" w:eastAsia="宋体" w:hAnsi="Arial" w:cs="Arial"/>
          <w:color w:val="000000" w:themeColor="text1"/>
          <w:lang w:eastAsia="zh-CN"/>
        </w:rPr>
      </w:pPr>
      <w:r>
        <w:rPr>
          <w:rFonts w:ascii="Arial" w:eastAsia="宋体" w:hAnsi="Arial" w:cs="Arial"/>
          <w:color w:val="000000" w:themeColor="text1"/>
          <w:lang w:eastAsia="zh-CN"/>
        </w:rPr>
        <w:t xml:space="preserve">However in the </w:t>
      </w:r>
      <w:r w:rsidR="00B66403" w:rsidRPr="00D244AC">
        <w:rPr>
          <w:rFonts w:ascii="Arial" w:eastAsia="宋体" w:hAnsi="Arial" w:cs="Arial"/>
          <w:color w:val="000000" w:themeColor="text1"/>
          <w:lang w:eastAsia="zh-CN"/>
        </w:rPr>
        <w:t>scheme reducing the UE LTE FDD power by configuring its power less than 23dBm would most possibly result in LTE UL co</w:t>
      </w:r>
      <w:r w:rsidR="00C66D8F" w:rsidRPr="00D244AC">
        <w:rPr>
          <w:rFonts w:ascii="Arial" w:eastAsia="宋体" w:hAnsi="Arial" w:cs="Arial"/>
          <w:color w:val="000000" w:themeColor="text1"/>
          <w:lang w:eastAsia="zh-CN"/>
        </w:rPr>
        <w:t xml:space="preserve">verage performance degradation, i.e., </w:t>
      </w:r>
      <w:r w:rsidR="00B66403" w:rsidRPr="00D244AC">
        <w:rPr>
          <w:rFonts w:ascii="Arial" w:eastAsia="宋体" w:hAnsi="Arial" w:cs="Arial"/>
          <w:color w:val="000000" w:themeColor="text1"/>
          <w:lang w:eastAsia="zh-CN"/>
        </w:rPr>
        <w:t>not improvement</w:t>
      </w:r>
      <w:r w:rsidR="00C66D8F" w:rsidRPr="00D244AC">
        <w:rPr>
          <w:rFonts w:ascii="Arial" w:eastAsia="宋体" w:hAnsi="Arial" w:cs="Arial"/>
          <w:color w:val="000000" w:themeColor="text1"/>
          <w:lang w:eastAsia="zh-CN"/>
        </w:rPr>
        <w:t>,</w:t>
      </w:r>
      <w:r w:rsidR="00B66403" w:rsidRPr="00D244AC">
        <w:rPr>
          <w:rFonts w:ascii="Arial" w:eastAsia="宋体" w:hAnsi="Arial" w:cs="Arial"/>
          <w:color w:val="000000" w:themeColor="text1"/>
          <w:lang w:eastAsia="zh-CN"/>
        </w:rPr>
        <w:t xml:space="preserve"> even though without need for signalling and cell-group coordination.</w:t>
      </w:r>
    </w:p>
    <w:p w14:paraId="4ED7EEE6" w14:textId="01C6CCFD" w:rsidR="007A7AD2" w:rsidRPr="00D244AC" w:rsidRDefault="005A49F6" w:rsidP="007A7AD2">
      <w:pPr>
        <w:rPr>
          <w:rFonts w:ascii="Arial" w:hAnsi="Arial" w:cs="Arial"/>
          <w:lang w:val="en-US"/>
        </w:rPr>
      </w:pPr>
      <w:r w:rsidRPr="00D244AC">
        <w:rPr>
          <w:rFonts w:ascii="Arial" w:eastAsia="宋体" w:hAnsi="Arial" w:cs="Arial"/>
          <w:lang w:val="en-US" w:eastAsia="zh-CN"/>
        </w:rPr>
        <w:t>Comparing</w:t>
      </w:r>
      <w:r w:rsidR="00DB04E5" w:rsidRPr="00D244AC">
        <w:rPr>
          <w:rFonts w:ascii="Arial" w:eastAsia="宋体" w:hAnsi="Arial" w:cs="Arial"/>
          <w:lang w:val="en-US" w:eastAsia="zh-CN"/>
        </w:rPr>
        <w:t xml:space="preserve"> option 1 with option</w:t>
      </w:r>
      <w:r w:rsidR="00B259D0">
        <w:rPr>
          <w:rFonts w:ascii="Arial" w:eastAsia="宋体" w:hAnsi="Arial" w:cs="Arial"/>
          <w:lang w:val="en-US" w:eastAsia="zh-CN"/>
        </w:rPr>
        <w:t xml:space="preserve"> </w:t>
      </w:r>
      <w:r w:rsidR="00DB04E5" w:rsidRPr="00D244AC">
        <w:rPr>
          <w:rFonts w:ascii="Arial" w:eastAsia="宋体" w:hAnsi="Arial" w:cs="Arial"/>
          <w:lang w:val="en-US" w:eastAsia="zh-CN"/>
        </w:rPr>
        <w:t xml:space="preserve">2, </w:t>
      </w:r>
      <w:r w:rsidR="00DB04E5" w:rsidRPr="00D244AC">
        <w:rPr>
          <w:rFonts w:ascii="Arial" w:hAnsi="Arial" w:cs="Arial"/>
          <w:lang w:val="en-US"/>
        </w:rPr>
        <w:t xml:space="preserve">option 1 is </w:t>
      </w:r>
      <w:r w:rsidR="00B259D0">
        <w:rPr>
          <w:rFonts w:ascii="Arial" w:hAnsi="Arial" w:cs="Arial"/>
          <w:lang w:val="en-US"/>
        </w:rPr>
        <w:t xml:space="preserve">more suitable </w:t>
      </w:r>
      <w:r w:rsidR="00DB04E5" w:rsidRPr="00D244AC">
        <w:rPr>
          <w:rFonts w:ascii="Arial" w:hAnsi="Arial" w:cs="Arial"/>
          <w:lang w:val="en-US"/>
        </w:rPr>
        <w:t>according to above analysis.</w:t>
      </w:r>
    </w:p>
    <w:p w14:paraId="12635F17" w14:textId="0438F136" w:rsidR="00942368" w:rsidRPr="00D244AC" w:rsidRDefault="005A49F6" w:rsidP="00896F14">
      <w:pPr>
        <w:rPr>
          <w:rFonts w:ascii="Arial" w:eastAsia="宋体" w:hAnsi="Arial" w:cs="Arial"/>
          <w:b/>
          <w:lang w:eastAsia="zh-CN"/>
        </w:rPr>
      </w:pPr>
      <w:r w:rsidRPr="00D244AC">
        <w:rPr>
          <w:rFonts w:ascii="Arial" w:hAnsi="Arial" w:cs="Arial"/>
          <w:b/>
          <w:lang w:val="en-US"/>
        </w:rPr>
        <w:t xml:space="preserve">Proposal 1: </w:t>
      </w:r>
      <w:r w:rsidR="00DA3780" w:rsidRPr="00D244AC">
        <w:rPr>
          <w:rFonts w:ascii="Arial" w:hAnsi="Arial" w:cs="Arial"/>
          <w:b/>
          <w:lang w:val="en-US"/>
        </w:rPr>
        <w:t>O</w:t>
      </w:r>
      <w:r w:rsidRPr="00D244AC">
        <w:rPr>
          <w:rFonts w:ascii="Arial" w:hAnsi="Arial" w:cs="Arial"/>
          <w:b/>
          <w:lang w:val="en-US"/>
        </w:rPr>
        <w:t>ption 1 scheme (</w:t>
      </w:r>
      <w:r w:rsidRPr="00D244AC">
        <w:rPr>
          <w:rFonts w:ascii="Arial" w:hAnsi="Arial" w:cs="Arial"/>
          <w:b/>
          <w:lang w:val="en-US" w:eastAsia="zh-CN"/>
        </w:rPr>
        <w:t>Using default value of maxNRDuty for two cases of LTE and NR power combination</w:t>
      </w:r>
      <w:r w:rsidRPr="00D244AC">
        <w:rPr>
          <w:rFonts w:ascii="Arial" w:hAnsi="Arial" w:cs="Arial"/>
          <w:b/>
          <w:lang w:val="en-US"/>
        </w:rPr>
        <w:t xml:space="preserve">) is </w:t>
      </w:r>
      <w:r w:rsidR="00EF743E">
        <w:rPr>
          <w:rFonts w:ascii="Arial" w:hAnsi="Arial" w:cs="Arial"/>
          <w:b/>
          <w:lang w:val="en-US"/>
        </w:rPr>
        <w:t>more suitable</w:t>
      </w:r>
      <w:r w:rsidRPr="00D244AC">
        <w:rPr>
          <w:rFonts w:ascii="Arial" w:hAnsi="Arial" w:cs="Arial"/>
          <w:b/>
          <w:lang w:val="en-US"/>
        </w:rPr>
        <w:t xml:space="preserve"> </w:t>
      </w:r>
      <w:r w:rsidR="00E324B0" w:rsidRPr="00D244AC">
        <w:rPr>
          <w:rFonts w:ascii="Arial" w:hAnsi="Arial" w:cs="Arial"/>
          <w:b/>
          <w:lang w:val="en-US"/>
        </w:rPr>
        <w:t>by comparison</w:t>
      </w:r>
      <w:r w:rsidRPr="00D244AC">
        <w:rPr>
          <w:rFonts w:ascii="Arial" w:hAnsi="Arial" w:cs="Arial"/>
          <w:b/>
          <w:lang w:val="en-US"/>
        </w:rPr>
        <w:t xml:space="preserve"> when </w:t>
      </w:r>
      <w:r w:rsidR="00EF743E">
        <w:rPr>
          <w:rFonts w:ascii="Arial" w:hAnsi="Arial" w:cs="Arial"/>
          <w:b/>
          <w:lang w:val="en-US" w:eastAsia="zh-CN"/>
        </w:rPr>
        <w:t>capability parameters are not signalled</w:t>
      </w:r>
      <w:r w:rsidRPr="00D244AC">
        <w:rPr>
          <w:rFonts w:ascii="Arial" w:hAnsi="Arial" w:cs="Arial"/>
          <w:b/>
          <w:lang w:val="en-US" w:eastAsia="zh-CN"/>
        </w:rPr>
        <w:t>.</w:t>
      </w:r>
    </w:p>
    <w:p w14:paraId="348CBDDA" w14:textId="77777777" w:rsidR="00A70335" w:rsidRDefault="00A70335" w:rsidP="00942368">
      <w:pPr>
        <w:spacing w:after="120"/>
        <w:rPr>
          <w:rFonts w:ascii="Arial" w:hAnsi="Arial" w:cs="Arial"/>
        </w:rPr>
      </w:pPr>
    </w:p>
    <w:p w14:paraId="0943AE28" w14:textId="41868981" w:rsidR="00942368" w:rsidRPr="00D244AC" w:rsidRDefault="00942368" w:rsidP="00942368">
      <w:pPr>
        <w:spacing w:after="120"/>
        <w:rPr>
          <w:rFonts w:ascii="Arial" w:hAnsi="Arial" w:cs="Arial"/>
        </w:rPr>
      </w:pPr>
      <w:r w:rsidRPr="00D244AC">
        <w:rPr>
          <w:rFonts w:ascii="Arial" w:hAnsi="Arial" w:cs="Arial"/>
        </w:rPr>
        <w:t xml:space="preserve">In the way forward, the </w:t>
      </w:r>
      <w:r w:rsidR="006E4983" w:rsidRPr="00D244AC">
        <w:rPr>
          <w:rFonts w:ascii="Arial" w:hAnsi="Arial" w:cs="Arial"/>
        </w:rPr>
        <w:t>second</w:t>
      </w:r>
      <w:r w:rsidR="00834112">
        <w:rPr>
          <w:rFonts w:ascii="Arial" w:hAnsi="Arial" w:cs="Arial"/>
        </w:rPr>
        <w:t xml:space="preserve"> </w:t>
      </w:r>
      <w:r w:rsidRPr="00D244AC">
        <w:rPr>
          <w:rFonts w:ascii="Arial" w:hAnsi="Arial" w:cs="Arial"/>
        </w:rPr>
        <w:t>issue shall be further discussed as follows:</w:t>
      </w:r>
    </w:p>
    <w:p w14:paraId="48A1DC7F" w14:textId="77777777" w:rsidR="00E324B0" w:rsidRPr="00D244AC" w:rsidRDefault="00E324B0" w:rsidP="00834112">
      <w:pPr>
        <w:numPr>
          <w:ilvl w:val="0"/>
          <w:numId w:val="8"/>
        </w:numPr>
        <w:spacing w:after="120"/>
        <w:rPr>
          <w:rFonts w:ascii="Arial" w:hAnsi="Arial" w:cs="Arial"/>
          <w:i/>
          <w:sz w:val="18"/>
          <w:szCs w:val="18"/>
          <w:lang w:val="en-US" w:eastAsia="zh-CN"/>
        </w:rPr>
      </w:pPr>
      <w:r w:rsidRPr="00D244AC">
        <w:rPr>
          <w:rFonts w:ascii="Arial" w:hAnsi="Arial" w:cs="Arial"/>
          <w:i/>
          <w:sz w:val="18"/>
          <w:szCs w:val="18"/>
          <w:lang w:val="en-US" w:eastAsia="zh-CN"/>
        </w:rPr>
        <w:t>Choosing “PC fallback” or “blind scheme” when the UL EN-DC scheduling exceeds the UE capability</w:t>
      </w:r>
    </w:p>
    <w:p w14:paraId="0494C849" w14:textId="77777777" w:rsidR="00E324B0" w:rsidRPr="00D244AC" w:rsidRDefault="00E324B0" w:rsidP="00834112">
      <w:pPr>
        <w:numPr>
          <w:ilvl w:val="1"/>
          <w:numId w:val="8"/>
        </w:numPr>
        <w:spacing w:after="120"/>
        <w:rPr>
          <w:rFonts w:ascii="Arial" w:hAnsi="Arial" w:cs="Arial"/>
          <w:i/>
          <w:sz w:val="18"/>
          <w:szCs w:val="18"/>
          <w:lang w:val="en-US" w:eastAsia="zh-CN"/>
        </w:rPr>
      </w:pPr>
      <w:r w:rsidRPr="00D244AC">
        <w:rPr>
          <w:rFonts w:ascii="Arial" w:hAnsi="Arial" w:cs="Arial"/>
          <w:i/>
          <w:sz w:val="18"/>
          <w:szCs w:val="18"/>
          <w:lang w:val="en-US" w:eastAsia="zh-CN"/>
        </w:rPr>
        <w:t>Option1: UE should fallback to PC3</w:t>
      </w:r>
    </w:p>
    <w:p w14:paraId="5AD44B52" w14:textId="77777777" w:rsidR="00E324B0" w:rsidRPr="00D244AC" w:rsidRDefault="00E324B0" w:rsidP="00834112">
      <w:pPr>
        <w:numPr>
          <w:ilvl w:val="1"/>
          <w:numId w:val="8"/>
        </w:numPr>
        <w:spacing w:after="120"/>
        <w:rPr>
          <w:rFonts w:ascii="Arial" w:hAnsi="Arial" w:cs="Arial"/>
          <w:i/>
          <w:sz w:val="18"/>
          <w:szCs w:val="18"/>
          <w:lang w:val="en-US" w:eastAsia="zh-CN"/>
        </w:rPr>
      </w:pPr>
      <w:r w:rsidRPr="00D244AC">
        <w:rPr>
          <w:rFonts w:ascii="Arial" w:hAnsi="Arial" w:cs="Arial"/>
          <w:i/>
          <w:sz w:val="18"/>
          <w:szCs w:val="18"/>
          <w:lang w:val="en-US" w:eastAsia="zh-CN"/>
        </w:rPr>
        <w:t>Option2: Blind scheme should be followed</w:t>
      </w:r>
    </w:p>
    <w:p w14:paraId="1D61616C" w14:textId="29B8C5C6" w:rsidR="00D51B41" w:rsidRPr="00D244AC" w:rsidRDefault="00D32481" w:rsidP="00E324B0">
      <w:pPr>
        <w:spacing w:after="120"/>
        <w:rPr>
          <w:rFonts w:ascii="Arial" w:eastAsia="PMingLiU" w:hAnsi="Arial" w:cs="Arial"/>
          <w:color w:val="000000" w:themeColor="text1"/>
          <w:lang w:val="en-US" w:eastAsia="zh-TW"/>
        </w:rPr>
      </w:pPr>
      <w:r w:rsidRPr="00D244AC">
        <w:rPr>
          <w:rFonts w:ascii="Arial" w:hAnsi="Arial" w:cs="Arial"/>
          <w:lang w:val="en-US" w:eastAsia="zh-CN"/>
        </w:rPr>
        <w:t>W</w:t>
      </w:r>
      <w:r w:rsidR="00C66D8F" w:rsidRPr="00D244AC">
        <w:rPr>
          <w:rFonts w:ascii="Arial" w:hAnsi="Arial" w:cs="Arial"/>
          <w:lang w:val="en-US" w:eastAsia="zh-CN"/>
        </w:rPr>
        <w:t xml:space="preserve">hen the </w:t>
      </w:r>
      <w:r w:rsidR="00E9379E" w:rsidRPr="00D244AC">
        <w:rPr>
          <w:rFonts w:ascii="Arial" w:hAnsi="Arial" w:cs="Arial"/>
          <w:lang w:val="en-US" w:eastAsia="zh-CN"/>
        </w:rPr>
        <w:t xml:space="preserve">UE capability </w:t>
      </w:r>
      <w:r w:rsidR="00A70335">
        <w:rPr>
          <w:rFonts w:ascii="Arial" w:hAnsi="Arial" w:cs="Arial"/>
          <w:lang w:val="en-US" w:eastAsia="zh-CN"/>
        </w:rPr>
        <w:t xml:space="preserve">parameters is provided and </w:t>
      </w:r>
      <w:r w:rsidR="00E9379E" w:rsidRPr="00D244AC">
        <w:rPr>
          <w:rFonts w:ascii="Arial" w:hAnsi="Arial" w:cs="Arial"/>
          <w:lang w:val="en-US" w:eastAsia="zh-CN"/>
        </w:rPr>
        <w:t xml:space="preserve">exceeded by </w:t>
      </w:r>
      <w:r w:rsidR="00C66D8F" w:rsidRPr="00D244AC">
        <w:rPr>
          <w:rFonts w:ascii="Arial" w:hAnsi="Arial" w:cs="Arial"/>
          <w:lang w:val="en-US" w:eastAsia="zh-CN"/>
        </w:rPr>
        <w:t xml:space="preserve">UL EN-DC scheduling, </w:t>
      </w:r>
      <w:r w:rsidR="00DA3780" w:rsidRPr="00D244AC">
        <w:rPr>
          <w:rFonts w:ascii="Arial" w:hAnsi="Arial" w:cs="Arial"/>
          <w:lang w:val="en-US" w:eastAsia="zh-CN"/>
        </w:rPr>
        <w:t xml:space="preserve">for option 1, </w:t>
      </w:r>
      <w:r w:rsidR="00D51B41" w:rsidRPr="00D244AC">
        <w:rPr>
          <w:rFonts w:ascii="Arial" w:hAnsi="Arial" w:cs="Arial"/>
          <w:lang w:val="en-US" w:eastAsia="zh-CN"/>
        </w:rPr>
        <w:t xml:space="preserve">i.e., UE should fallback to PC3, UE behavior as similar with </w:t>
      </w:r>
      <w:r w:rsidR="00D51B41" w:rsidRPr="00D244AC">
        <w:rPr>
          <w:rFonts w:ascii="Arial" w:eastAsia="PMingLiU" w:hAnsi="Arial" w:cs="Arial"/>
          <w:color w:val="000000" w:themeColor="text1"/>
          <w:lang w:val="en-US" w:eastAsia="zh-TW"/>
        </w:rPr>
        <w:t>NR SA and TDD-TDD E</w:t>
      </w:r>
      <w:r w:rsidR="00A70335">
        <w:rPr>
          <w:rFonts w:ascii="Arial" w:eastAsia="PMingLiU" w:hAnsi="Arial" w:cs="Arial"/>
          <w:color w:val="000000" w:themeColor="text1"/>
          <w:lang w:val="en-US" w:eastAsia="zh-TW"/>
        </w:rPr>
        <w:t>NDC and therefore the uniform</w:t>
      </w:r>
      <w:r w:rsidR="00D51B41" w:rsidRPr="00D244AC">
        <w:rPr>
          <w:rFonts w:ascii="Arial" w:eastAsia="PMingLiU" w:hAnsi="Arial" w:cs="Arial"/>
          <w:color w:val="000000" w:themeColor="text1"/>
          <w:lang w:val="en-US" w:eastAsia="zh-TW"/>
        </w:rPr>
        <w:t xml:space="preserve"> fallback principles</w:t>
      </w:r>
      <w:r w:rsidR="00A70335">
        <w:rPr>
          <w:rFonts w:ascii="Arial" w:eastAsia="PMingLiU" w:hAnsi="Arial" w:cs="Arial"/>
          <w:color w:val="000000" w:themeColor="text1"/>
          <w:lang w:val="en-US" w:eastAsia="zh-TW"/>
        </w:rPr>
        <w:t xml:space="preserve"> are applicable among </w:t>
      </w:r>
      <w:r w:rsidR="00D51B41" w:rsidRPr="00D244AC">
        <w:rPr>
          <w:rFonts w:ascii="Arial" w:eastAsia="PMingLiU" w:hAnsi="Arial" w:cs="Arial"/>
          <w:color w:val="000000" w:themeColor="text1"/>
          <w:lang w:val="en-US" w:eastAsia="zh-TW"/>
        </w:rPr>
        <w:t xml:space="preserve">three </w:t>
      </w:r>
      <w:r w:rsidR="00A70335">
        <w:rPr>
          <w:rFonts w:ascii="Arial" w:eastAsia="PMingLiU" w:hAnsi="Arial" w:cs="Arial"/>
          <w:color w:val="000000" w:themeColor="text1"/>
          <w:lang w:val="en-US" w:eastAsia="zh-TW"/>
        </w:rPr>
        <w:t xml:space="preserve">above </w:t>
      </w:r>
      <w:r w:rsidR="00D51B41" w:rsidRPr="00D244AC">
        <w:rPr>
          <w:rFonts w:ascii="Arial" w:eastAsia="PMingLiU" w:hAnsi="Arial" w:cs="Arial"/>
          <w:color w:val="000000" w:themeColor="text1"/>
          <w:lang w:val="en-US" w:eastAsia="zh-TW"/>
        </w:rPr>
        <w:t>HPUEs.</w:t>
      </w:r>
    </w:p>
    <w:p w14:paraId="16A01428" w14:textId="7C9413DC" w:rsidR="00C746DC" w:rsidRDefault="00D51B41" w:rsidP="00E324B0">
      <w:pPr>
        <w:spacing w:after="120"/>
        <w:rPr>
          <w:rFonts w:ascii="Arial" w:hAnsi="Arial" w:cs="Arial"/>
          <w:lang w:val="en-US" w:eastAsia="zh-CN"/>
        </w:rPr>
      </w:pPr>
      <w:r w:rsidRPr="00D244AC">
        <w:rPr>
          <w:rFonts w:ascii="Arial" w:hAnsi="Arial" w:cs="Arial"/>
          <w:lang w:val="en-US" w:eastAsia="zh-CN"/>
        </w:rPr>
        <w:t>F</w:t>
      </w:r>
      <w:r w:rsidR="00C66D8F" w:rsidRPr="00D244AC">
        <w:rPr>
          <w:rFonts w:ascii="Arial" w:hAnsi="Arial" w:cs="Arial"/>
          <w:lang w:val="en-US" w:eastAsia="zh-CN"/>
        </w:rPr>
        <w:t>or option</w:t>
      </w:r>
      <w:r w:rsidR="00E9379E" w:rsidRPr="00D244AC">
        <w:rPr>
          <w:rFonts w:ascii="Arial" w:hAnsi="Arial" w:cs="Arial"/>
          <w:lang w:val="en-US" w:eastAsia="zh-CN"/>
        </w:rPr>
        <w:t xml:space="preserve"> </w:t>
      </w:r>
      <w:r w:rsidR="00C66D8F" w:rsidRPr="00D244AC">
        <w:rPr>
          <w:rFonts w:ascii="Arial" w:hAnsi="Arial" w:cs="Arial"/>
          <w:lang w:val="en-US" w:eastAsia="zh-CN"/>
        </w:rPr>
        <w:t>2</w:t>
      </w:r>
      <w:r w:rsidRPr="00D244AC">
        <w:rPr>
          <w:rFonts w:ascii="Arial" w:hAnsi="Arial" w:cs="Arial"/>
          <w:lang w:val="en-US" w:eastAsia="zh-CN"/>
        </w:rPr>
        <w:t xml:space="preserve">, i.e., Blind scheme should be followed, </w:t>
      </w:r>
      <w:r w:rsidR="00E9379E" w:rsidRPr="00D244AC">
        <w:rPr>
          <w:rFonts w:ascii="Arial" w:hAnsi="Arial" w:cs="Arial"/>
          <w:lang w:val="en-US" w:eastAsia="zh-CN"/>
        </w:rPr>
        <w:t xml:space="preserve">network would set LTE power to a lower value and UE transmit with configured power according to the modified EN-DC total power. </w:t>
      </w:r>
      <w:r w:rsidR="00C746DC">
        <w:rPr>
          <w:rFonts w:ascii="Arial" w:hAnsi="Arial" w:cs="Arial"/>
          <w:lang w:val="en-US" w:eastAsia="zh-CN"/>
        </w:rPr>
        <w:t xml:space="preserve">Considering the UL coverage weakness consequently so we prefer to fallback to PC3 rather than follow blind scheme. </w:t>
      </w:r>
    </w:p>
    <w:p w14:paraId="582FE224" w14:textId="0B8B89E9" w:rsidR="00C966CB" w:rsidRPr="00501E2A" w:rsidRDefault="00DA3780" w:rsidP="00E324B0">
      <w:pPr>
        <w:spacing w:after="120"/>
        <w:rPr>
          <w:rFonts w:ascii="Arial" w:eastAsia="宋体" w:hAnsi="Arial" w:cs="Arial"/>
          <w:b/>
          <w:lang w:val="en-US" w:eastAsia="zh-CN"/>
        </w:rPr>
      </w:pPr>
      <w:r w:rsidRPr="00D244AC">
        <w:rPr>
          <w:rFonts w:ascii="Arial" w:hAnsi="Arial" w:cs="Arial"/>
          <w:b/>
          <w:lang w:val="en-US" w:eastAsia="zh-CN"/>
        </w:rPr>
        <w:t xml:space="preserve">Proposal 2: </w:t>
      </w:r>
      <w:r w:rsidR="00C966CB">
        <w:rPr>
          <w:rFonts w:ascii="Arial" w:hAnsi="Arial" w:cs="Arial"/>
          <w:b/>
          <w:lang w:val="en-US" w:eastAsia="zh-CN"/>
        </w:rPr>
        <w:t>W</w:t>
      </w:r>
      <w:r w:rsidR="00C966CB" w:rsidRPr="00D244AC">
        <w:rPr>
          <w:rFonts w:ascii="Arial" w:hAnsi="Arial" w:cs="Arial"/>
          <w:b/>
          <w:lang w:val="en-US" w:eastAsia="zh-CN"/>
        </w:rPr>
        <w:t>hen the UL EN-DC sched</w:t>
      </w:r>
      <w:r w:rsidR="00C966CB">
        <w:rPr>
          <w:rFonts w:ascii="Arial" w:hAnsi="Arial" w:cs="Arial"/>
          <w:b/>
          <w:lang w:val="en-US" w:eastAsia="zh-CN"/>
        </w:rPr>
        <w:t>uling exceeds the UE capability, o</w:t>
      </w:r>
      <w:r w:rsidRPr="00D244AC">
        <w:rPr>
          <w:rFonts w:ascii="Arial" w:hAnsi="Arial" w:cs="Arial"/>
          <w:b/>
          <w:lang w:val="en-US" w:eastAsia="zh-CN"/>
        </w:rPr>
        <w:t>ption 1 scheme</w:t>
      </w:r>
      <w:r w:rsidR="00C966CB">
        <w:rPr>
          <w:rFonts w:ascii="Arial" w:hAnsi="Arial" w:cs="Arial"/>
          <w:b/>
          <w:lang w:val="en-US" w:eastAsia="zh-CN"/>
        </w:rPr>
        <w:t xml:space="preserve"> (UE should fallback to PC3) is appropriate than </w:t>
      </w:r>
      <w:r w:rsidR="00942368" w:rsidRPr="00D244AC">
        <w:rPr>
          <w:rFonts w:ascii="Arial" w:hAnsi="Arial" w:cs="Arial"/>
          <w:b/>
          <w:lang w:val="en-US" w:eastAsia="zh-CN"/>
        </w:rPr>
        <w:t>blind scheme</w:t>
      </w:r>
      <w:r w:rsidR="00C966CB">
        <w:rPr>
          <w:rFonts w:ascii="Arial" w:hAnsi="Arial" w:cs="Arial"/>
          <w:b/>
          <w:lang w:val="en-US" w:eastAsia="zh-CN"/>
        </w:rPr>
        <w:t>.</w:t>
      </w:r>
    </w:p>
    <w:p w14:paraId="5AAF58F3" w14:textId="77777777" w:rsidR="00074B34" w:rsidRDefault="00074B34" w:rsidP="00954B26">
      <w:pPr>
        <w:rPr>
          <w:rFonts w:ascii="Arial" w:eastAsia="宋体" w:hAnsi="Arial" w:cs="Arial"/>
          <w:lang w:val="en-US" w:eastAsia="zh-CN"/>
        </w:rPr>
      </w:pPr>
    </w:p>
    <w:p w14:paraId="4EC377ED" w14:textId="3AD7A267" w:rsidR="00B76004" w:rsidRDefault="006E4983" w:rsidP="00954B26">
      <w:pPr>
        <w:rPr>
          <w:rFonts w:ascii="Arial" w:hAnsi="Arial" w:cs="Arial"/>
          <w:lang w:val="en-US" w:eastAsia="zh-CN"/>
        </w:rPr>
      </w:pPr>
      <w:r w:rsidRPr="00D244AC">
        <w:rPr>
          <w:rFonts w:ascii="Arial" w:eastAsia="宋体" w:hAnsi="Arial" w:cs="Arial"/>
          <w:lang w:val="en-US" w:eastAsia="zh-CN"/>
        </w:rPr>
        <w:t xml:space="preserve">Actually the above two open issues are related to </w:t>
      </w:r>
      <w:r w:rsidR="0052194B" w:rsidRPr="00D244AC">
        <w:rPr>
          <w:rFonts w:ascii="Arial" w:eastAsia="宋体" w:hAnsi="Arial" w:cs="Arial"/>
          <w:lang w:val="en-US" w:eastAsia="zh-CN"/>
        </w:rPr>
        <w:t>UE behavior</w:t>
      </w:r>
      <w:r w:rsidR="002B7139">
        <w:rPr>
          <w:rFonts w:ascii="Arial" w:eastAsia="宋体" w:hAnsi="Arial" w:cs="Arial"/>
          <w:lang w:val="en-US" w:eastAsia="zh-CN"/>
        </w:rPr>
        <w:t xml:space="preserve"> for SAR compliance</w:t>
      </w:r>
      <w:r w:rsidR="0052194B" w:rsidRPr="00D244AC">
        <w:rPr>
          <w:rFonts w:ascii="Arial" w:hAnsi="Arial" w:cs="Arial"/>
          <w:lang w:val="en-US" w:eastAsia="zh-CN"/>
        </w:rPr>
        <w:t xml:space="preserve">. In summary if </w:t>
      </w:r>
      <w:r w:rsidR="001575F7">
        <w:rPr>
          <w:rFonts w:ascii="Arial" w:hAnsi="Arial" w:cs="Arial"/>
          <w:lang w:val="en-US" w:eastAsia="zh-CN"/>
        </w:rPr>
        <w:t xml:space="preserve">the </w:t>
      </w:r>
      <w:r w:rsidR="00A2631F" w:rsidRPr="00D244AC">
        <w:rPr>
          <w:rFonts w:ascii="Arial" w:hAnsi="Arial" w:cs="Arial"/>
          <w:lang w:val="en-US" w:eastAsia="zh-CN"/>
        </w:rPr>
        <w:t xml:space="preserve">capability </w:t>
      </w:r>
      <w:r w:rsidR="005B5927" w:rsidRPr="00D244AC">
        <w:rPr>
          <w:rFonts w:ascii="Arial" w:hAnsi="Arial" w:cs="Arial"/>
          <w:color w:val="000000" w:themeColor="text1"/>
          <w:lang w:val="en-US"/>
        </w:rPr>
        <w:t>maxNRDuty set</w:t>
      </w:r>
      <w:r w:rsidR="001575F7">
        <w:rPr>
          <w:rFonts w:ascii="Arial" w:hAnsi="Arial" w:cs="Arial"/>
          <w:color w:val="000000" w:themeColor="text1"/>
          <w:lang w:val="en-US"/>
        </w:rPr>
        <w:t xml:space="preserve"> is not reported</w:t>
      </w:r>
      <w:r w:rsidR="005B5927" w:rsidRPr="00D244AC">
        <w:rPr>
          <w:rFonts w:ascii="Arial" w:hAnsi="Arial" w:cs="Arial"/>
          <w:color w:val="000000" w:themeColor="text1"/>
          <w:lang w:val="en-US"/>
        </w:rPr>
        <w:t xml:space="preserve">, </w:t>
      </w:r>
      <w:r w:rsidR="00040080" w:rsidRPr="00D244AC">
        <w:rPr>
          <w:rFonts w:ascii="Arial" w:hAnsi="Arial" w:cs="Arial"/>
          <w:color w:val="000000" w:themeColor="text1"/>
          <w:lang w:val="en-US"/>
        </w:rPr>
        <w:t xml:space="preserve">UE </w:t>
      </w:r>
      <w:r w:rsidR="00040080" w:rsidRPr="00D244AC">
        <w:rPr>
          <w:rFonts w:ascii="Arial" w:eastAsia="宋体" w:hAnsi="Arial" w:cs="Arial"/>
          <w:color w:val="000000" w:themeColor="text1"/>
          <w:lang w:val="en-US" w:eastAsia="zh-CN"/>
        </w:rPr>
        <w:t xml:space="preserve">should </w:t>
      </w:r>
      <w:r w:rsidR="00567756" w:rsidRPr="00D244AC">
        <w:rPr>
          <w:rFonts w:ascii="Arial" w:hAnsi="Arial" w:cs="Arial"/>
          <w:lang w:val="en-US" w:eastAsia="zh-CN"/>
        </w:rPr>
        <w:t xml:space="preserve">use default value </w:t>
      </w:r>
      <w:r w:rsidR="00040080" w:rsidRPr="00D244AC">
        <w:rPr>
          <w:rFonts w:ascii="Arial" w:eastAsia="宋体" w:hAnsi="Arial" w:cs="Arial"/>
          <w:lang w:val="en-US" w:eastAsia="zh-CN"/>
        </w:rPr>
        <w:t>method</w:t>
      </w:r>
      <w:r w:rsidR="00567756" w:rsidRPr="00D244AC">
        <w:rPr>
          <w:rFonts w:ascii="Arial" w:hAnsi="Arial" w:cs="Arial"/>
          <w:lang w:val="en-US" w:eastAsia="zh-CN"/>
        </w:rPr>
        <w:t xml:space="preserve"> for two cases of FDD LTE and NR band combination. If </w:t>
      </w:r>
      <w:r w:rsidR="00A2631F" w:rsidRPr="00D244AC">
        <w:rPr>
          <w:rFonts w:ascii="Arial" w:hAnsi="Arial" w:cs="Arial"/>
          <w:lang w:val="en-US" w:eastAsia="zh-CN"/>
        </w:rPr>
        <w:t xml:space="preserve">UE </w:t>
      </w:r>
      <w:r w:rsidR="001575F7">
        <w:rPr>
          <w:rFonts w:ascii="Arial" w:hAnsi="Arial" w:cs="Arial"/>
          <w:lang w:val="en-US" w:eastAsia="zh-CN"/>
        </w:rPr>
        <w:t xml:space="preserve">the </w:t>
      </w:r>
      <w:r w:rsidR="00A2631F" w:rsidRPr="00D244AC">
        <w:rPr>
          <w:rFonts w:ascii="Arial" w:hAnsi="Arial" w:cs="Arial"/>
          <w:lang w:val="en-US" w:eastAsia="zh-CN"/>
        </w:rPr>
        <w:t xml:space="preserve">capability maxNRDuty set </w:t>
      </w:r>
      <w:r w:rsidR="001575F7">
        <w:rPr>
          <w:rFonts w:ascii="Arial" w:hAnsi="Arial" w:cs="Arial"/>
          <w:lang w:val="en-US" w:eastAsia="zh-CN"/>
        </w:rPr>
        <w:t xml:space="preserve">is reported </w:t>
      </w:r>
      <w:r w:rsidR="00A2631F" w:rsidRPr="00D244AC">
        <w:rPr>
          <w:rFonts w:ascii="Arial" w:hAnsi="Arial" w:cs="Arial"/>
          <w:lang w:val="en-US" w:eastAsia="zh-CN"/>
        </w:rPr>
        <w:t xml:space="preserve">and </w:t>
      </w:r>
      <w:r w:rsidR="001575F7">
        <w:rPr>
          <w:rFonts w:ascii="Arial" w:hAnsi="Arial" w:cs="Arial"/>
          <w:lang w:val="en-US" w:eastAsia="zh-CN"/>
        </w:rPr>
        <w:t xml:space="preserve">exceeded by </w:t>
      </w:r>
      <w:r w:rsidR="00A2631F" w:rsidRPr="00D244AC">
        <w:rPr>
          <w:rFonts w:ascii="Arial" w:hAnsi="Arial" w:cs="Arial"/>
          <w:lang w:val="en-US" w:eastAsia="zh-CN"/>
        </w:rPr>
        <w:t>UL EN-DC s</w:t>
      </w:r>
      <w:r w:rsidR="001575F7">
        <w:rPr>
          <w:rFonts w:ascii="Arial" w:hAnsi="Arial" w:cs="Arial"/>
          <w:lang w:val="en-US" w:eastAsia="zh-CN"/>
        </w:rPr>
        <w:t>cheduling</w:t>
      </w:r>
      <w:r w:rsidR="00040080" w:rsidRPr="00D244AC">
        <w:rPr>
          <w:rFonts w:ascii="Arial" w:hAnsi="Arial" w:cs="Arial"/>
          <w:lang w:val="en-US" w:eastAsia="zh-CN"/>
        </w:rPr>
        <w:t>, UE should fallback to PC3.</w:t>
      </w:r>
    </w:p>
    <w:p w14:paraId="490FA6B9" w14:textId="77777777" w:rsidR="00501E2A" w:rsidRPr="00D244AC" w:rsidRDefault="00501E2A" w:rsidP="00954B26">
      <w:pPr>
        <w:rPr>
          <w:rFonts w:ascii="Arial" w:eastAsia="PMingLiU" w:hAnsi="Arial" w:cs="Arial"/>
          <w:color w:val="000000" w:themeColor="text1"/>
          <w:lang w:val="en-US" w:eastAsia="zh-TW"/>
        </w:rPr>
      </w:pPr>
    </w:p>
    <w:p w14:paraId="1CDE4113" w14:textId="177B6865" w:rsidR="000468D0" w:rsidRPr="00D244AC" w:rsidRDefault="000468D0" w:rsidP="00D876ED">
      <w:pPr>
        <w:pStyle w:val="1"/>
        <w:numPr>
          <w:ilvl w:val="0"/>
          <w:numId w:val="1"/>
        </w:numPr>
        <w:ind w:left="420" w:hanging="420"/>
        <w:rPr>
          <w:rFonts w:eastAsia="宋体" w:cs="Arial"/>
          <w:lang w:eastAsia="zh-CN"/>
        </w:rPr>
      </w:pPr>
      <w:r w:rsidRPr="00D244AC">
        <w:rPr>
          <w:rFonts w:eastAsia="宋体" w:cs="Arial"/>
          <w:lang w:eastAsia="zh-CN"/>
        </w:rPr>
        <w:t>Conclusions</w:t>
      </w:r>
    </w:p>
    <w:p w14:paraId="59C4B577" w14:textId="32B9B425" w:rsidR="00C03744" w:rsidRPr="00D244AC" w:rsidRDefault="00501E2A" w:rsidP="00040080">
      <w:pPr>
        <w:spacing w:afterLines="50" w:after="120"/>
        <w:rPr>
          <w:rFonts w:ascii="Arial" w:hAnsi="Arial" w:cs="Arial"/>
          <w:b/>
        </w:rPr>
      </w:pPr>
      <w:r>
        <w:rPr>
          <w:rFonts w:ascii="Arial" w:hAnsi="Arial" w:cs="Arial"/>
          <w:color w:val="000000" w:themeColor="text1"/>
        </w:rPr>
        <w:t>In this</w:t>
      </w:r>
      <w:r w:rsidR="00BE4E81" w:rsidRPr="00D244AC">
        <w:rPr>
          <w:rFonts w:ascii="Arial" w:hAnsi="Arial" w:cs="Arial"/>
          <w:color w:val="000000" w:themeColor="text1"/>
        </w:rPr>
        <w:t xml:space="preserve"> contribution </w:t>
      </w:r>
      <w:r w:rsidR="0032566E" w:rsidRPr="00D244AC">
        <w:rPr>
          <w:rFonts w:ascii="Arial" w:hAnsi="Arial" w:cs="Arial"/>
          <w:color w:val="000000" w:themeColor="text1"/>
        </w:rPr>
        <w:t xml:space="preserve">we </w:t>
      </w:r>
      <w:r>
        <w:rPr>
          <w:rFonts w:ascii="Arial" w:hAnsi="Arial" w:cs="Arial"/>
          <w:color w:val="000000" w:themeColor="text1"/>
        </w:rPr>
        <w:t>make</w:t>
      </w:r>
      <w:r w:rsidR="00BE4E81" w:rsidRPr="00D244AC">
        <w:rPr>
          <w:rFonts w:ascii="Arial" w:hAnsi="Arial" w:cs="Arial"/>
          <w:color w:val="000000" w:themeColor="text1"/>
        </w:rPr>
        <w:t xml:space="preserve"> the following </w:t>
      </w:r>
      <w:r w:rsidR="0032566E" w:rsidRPr="00D244AC">
        <w:rPr>
          <w:rFonts w:ascii="Arial" w:hAnsi="Arial" w:cs="Arial"/>
          <w:color w:val="000000" w:themeColor="text1"/>
        </w:rPr>
        <w:t>proposals</w:t>
      </w:r>
      <w:r w:rsidR="0032566E" w:rsidRPr="00D244AC">
        <w:rPr>
          <w:rFonts w:ascii="Arial" w:eastAsia="宋体" w:hAnsi="Arial" w:cs="Arial"/>
          <w:color w:val="000000" w:themeColor="text1"/>
          <w:lang w:val="en-US" w:eastAsia="zh-CN"/>
        </w:rPr>
        <w:t>:</w:t>
      </w:r>
      <w:r w:rsidR="005B526C" w:rsidRPr="00D244AC">
        <w:rPr>
          <w:rFonts w:ascii="Arial" w:eastAsia="宋体" w:hAnsi="Arial" w:cs="Arial"/>
          <w:color w:val="000000" w:themeColor="text1"/>
          <w:lang w:val="en-US" w:eastAsia="zh-CN"/>
        </w:rPr>
        <w:t xml:space="preserve"> </w:t>
      </w:r>
    </w:p>
    <w:p w14:paraId="7B5841E3" w14:textId="77777777" w:rsidR="00501E2A" w:rsidRPr="00D244AC" w:rsidRDefault="00501E2A" w:rsidP="00501E2A">
      <w:pPr>
        <w:rPr>
          <w:rFonts w:ascii="Arial" w:eastAsia="宋体" w:hAnsi="Arial" w:cs="Arial"/>
          <w:b/>
          <w:lang w:eastAsia="zh-CN"/>
        </w:rPr>
      </w:pPr>
      <w:r w:rsidRPr="00D244AC">
        <w:rPr>
          <w:rFonts w:ascii="Arial" w:hAnsi="Arial" w:cs="Arial"/>
          <w:b/>
          <w:lang w:val="en-US"/>
        </w:rPr>
        <w:t>Proposal 1: Option 1 scheme (</w:t>
      </w:r>
      <w:r w:rsidRPr="00D244AC">
        <w:rPr>
          <w:rFonts w:ascii="Arial" w:hAnsi="Arial" w:cs="Arial"/>
          <w:b/>
          <w:lang w:val="en-US" w:eastAsia="zh-CN"/>
        </w:rPr>
        <w:t>Using default value of maxNRDuty for two cases of LTE and NR power combination</w:t>
      </w:r>
      <w:r w:rsidRPr="00D244AC">
        <w:rPr>
          <w:rFonts w:ascii="Arial" w:hAnsi="Arial" w:cs="Arial"/>
          <w:b/>
          <w:lang w:val="en-US"/>
        </w:rPr>
        <w:t xml:space="preserve">) is </w:t>
      </w:r>
      <w:r>
        <w:rPr>
          <w:rFonts w:ascii="Arial" w:hAnsi="Arial" w:cs="Arial"/>
          <w:b/>
          <w:lang w:val="en-US"/>
        </w:rPr>
        <w:t>more suitable</w:t>
      </w:r>
      <w:r w:rsidRPr="00D244AC">
        <w:rPr>
          <w:rFonts w:ascii="Arial" w:hAnsi="Arial" w:cs="Arial"/>
          <w:b/>
          <w:lang w:val="en-US"/>
        </w:rPr>
        <w:t xml:space="preserve"> by comparison when </w:t>
      </w:r>
      <w:r>
        <w:rPr>
          <w:rFonts w:ascii="Arial" w:hAnsi="Arial" w:cs="Arial"/>
          <w:b/>
          <w:lang w:val="en-US" w:eastAsia="zh-CN"/>
        </w:rPr>
        <w:t>capability parameters are not signalled</w:t>
      </w:r>
      <w:r w:rsidRPr="00D244AC">
        <w:rPr>
          <w:rFonts w:ascii="Arial" w:hAnsi="Arial" w:cs="Arial"/>
          <w:b/>
          <w:lang w:val="en-US" w:eastAsia="zh-CN"/>
        </w:rPr>
        <w:t>.</w:t>
      </w:r>
    </w:p>
    <w:p w14:paraId="74A7F40A" w14:textId="77777777" w:rsidR="00501E2A" w:rsidRDefault="00501E2A" w:rsidP="00501E2A">
      <w:pPr>
        <w:spacing w:after="120"/>
        <w:rPr>
          <w:rFonts w:ascii="Arial" w:hAnsi="Arial" w:cs="Arial"/>
          <w:b/>
          <w:lang w:val="en-US" w:eastAsia="zh-CN"/>
        </w:rPr>
      </w:pPr>
      <w:r w:rsidRPr="00D244AC">
        <w:rPr>
          <w:rFonts w:ascii="Arial" w:hAnsi="Arial" w:cs="Arial"/>
          <w:b/>
          <w:lang w:val="en-US" w:eastAsia="zh-CN"/>
        </w:rPr>
        <w:t xml:space="preserve">Proposal 2: </w:t>
      </w:r>
      <w:r>
        <w:rPr>
          <w:rFonts w:ascii="Arial" w:hAnsi="Arial" w:cs="Arial"/>
          <w:b/>
          <w:lang w:val="en-US" w:eastAsia="zh-CN"/>
        </w:rPr>
        <w:t>W</w:t>
      </w:r>
      <w:r w:rsidRPr="00D244AC">
        <w:rPr>
          <w:rFonts w:ascii="Arial" w:hAnsi="Arial" w:cs="Arial"/>
          <w:b/>
          <w:lang w:val="en-US" w:eastAsia="zh-CN"/>
        </w:rPr>
        <w:t>hen the UL EN-DC sched</w:t>
      </w:r>
      <w:r>
        <w:rPr>
          <w:rFonts w:ascii="Arial" w:hAnsi="Arial" w:cs="Arial"/>
          <w:b/>
          <w:lang w:val="en-US" w:eastAsia="zh-CN"/>
        </w:rPr>
        <w:t>uling exceeds the UE capability, o</w:t>
      </w:r>
      <w:r w:rsidRPr="00D244AC">
        <w:rPr>
          <w:rFonts w:ascii="Arial" w:hAnsi="Arial" w:cs="Arial"/>
          <w:b/>
          <w:lang w:val="en-US" w:eastAsia="zh-CN"/>
        </w:rPr>
        <w:t>ption 1 scheme</w:t>
      </w:r>
      <w:r>
        <w:rPr>
          <w:rFonts w:ascii="Arial" w:hAnsi="Arial" w:cs="Arial"/>
          <w:b/>
          <w:lang w:val="en-US" w:eastAsia="zh-CN"/>
        </w:rPr>
        <w:t xml:space="preserve"> (UE should fallback to PC3) is appropriate than </w:t>
      </w:r>
      <w:r w:rsidRPr="00D244AC">
        <w:rPr>
          <w:rFonts w:ascii="Arial" w:hAnsi="Arial" w:cs="Arial"/>
          <w:b/>
          <w:lang w:val="en-US" w:eastAsia="zh-CN"/>
        </w:rPr>
        <w:t>blind scheme</w:t>
      </w:r>
      <w:r>
        <w:rPr>
          <w:rFonts w:ascii="Arial" w:hAnsi="Arial" w:cs="Arial"/>
          <w:b/>
          <w:lang w:val="en-US" w:eastAsia="zh-CN"/>
        </w:rPr>
        <w:t>.</w:t>
      </w:r>
    </w:p>
    <w:p w14:paraId="6A4A0F61" w14:textId="77777777" w:rsidR="00501E2A" w:rsidRPr="00501E2A" w:rsidRDefault="00501E2A" w:rsidP="00501E2A">
      <w:pPr>
        <w:spacing w:after="120"/>
        <w:rPr>
          <w:rFonts w:ascii="Arial" w:eastAsia="宋体" w:hAnsi="Arial" w:cs="Arial"/>
          <w:b/>
          <w:lang w:val="en-US" w:eastAsia="zh-CN"/>
        </w:rPr>
      </w:pPr>
    </w:p>
    <w:p w14:paraId="653BD8F6" w14:textId="6E6F2F66" w:rsidR="00496F3A" w:rsidRPr="00D244AC" w:rsidRDefault="00496F3A" w:rsidP="00D876ED">
      <w:pPr>
        <w:pStyle w:val="1"/>
        <w:numPr>
          <w:ilvl w:val="0"/>
          <w:numId w:val="1"/>
        </w:numPr>
        <w:ind w:left="420" w:hanging="420"/>
        <w:rPr>
          <w:rFonts w:eastAsia="宋体" w:cs="Arial"/>
          <w:lang w:eastAsia="zh-CN"/>
        </w:rPr>
      </w:pPr>
      <w:r w:rsidRPr="00D244AC">
        <w:rPr>
          <w:rFonts w:eastAsia="宋体" w:cs="Arial"/>
          <w:lang w:eastAsia="zh-CN"/>
        </w:rPr>
        <w:t>Reference</w:t>
      </w:r>
    </w:p>
    <w:p w14:paraId="414512A9" w14:textId="5A98649A" w:rsidR="00E657DF" w:rsidRPr="00D244AC" w:rsidRDefault="00AF42B9" w:rsidP="00AF42B9">
      <w:pPr>
        <w:spacing w:after="0"/>
        <w:ind w:left="300" w:hangingChars="150" w:hanging="300"/>
        <w:rPr>
          <w:rFonts w:ascii="Arial" w:eastAsiaTheme="minorEastAsia" w:hAnsi="Arial" w:cs="Arial"/>
          <w:bCs/>
          <w:color w:val="000000" w:themeColor="text1"/>
        </w:rPr>
      </w:pPr>
      <w:r w:rsidRPr="00D244AC">
        <w:rPr>
          <w:rFonts w:ascii="Arial" w:eastAsiaTheme="minorEastAsia" w:hAnsi="Arial" w:cs="Arial"/>
          <w:bCs/>
          <w:color w:val="000000" w:themeColor="text1"/>
        </w:rPr>
        <w:t>[</w:t>
      </w:r>
      <w:r w:rsidR="00E657DF" w:rsidRPr="00D244AC">
        <w:rPr>
          <w:rFonts w:ascii="Arial" w:eastAsiaTheme="minorEastAsia" w:hAnsi="Arial" w:cs="Arial"/>
          <w:bCs/>
          <w:color w:val="000000" w:themeColor="text1"/>
        </w:rPr>
        <w:t>1</w:t>
      </w:r>
      <w:r w:rsidRPr="00D244AC">
        <w:rPr>
          <w:rFonts w:ascii="Arial" w:eastAsiaTheme="minorEastAsia" w:hAnsi="Arial" w:cs="Arial"/>
          <w:bCs/>
          <w:color w:val="000000" w:themeColor="text1"/>
        </w:rPr>
        <w:t xml:space="preserve">] </w:t>
      </w:r>
      <w:r w:rsidR="00C03744" w:rsidRPr="00D244AC">
        <w:rPr>
          <w:rFonts w:ascii="Arial" w:eastAsiaTheme="minorEastAsia" w:hAnsi="Arial" w:cs="Arial"/>
          <w:bCs/>
          <w:color w:val="000000" w:themeColor="text1"/>
        </w:rPr>
        <w:t>R4-</w:t>
      </w:r>
      <w:r w:rsidR="00E657DF" w:rsidRPr="00D244AC">
        <w:rPr>
          <w:rFonts w:ascii="Arial" w:eastAsiaTheme="minorEastAsia" w:hAnsi="Arial" w:cs="Arial"/>
          <w:bCs/>
          <w:color w:val="000000" w:themeColor="text1"/>
        </w:rPr>
        <w:t>2002835 WF on EN-DC FDD+TDD HPUE, China Unicom</w:t>
      </w:r>
    </w:p>
    <w:p w14:paraId="04620367" w14:textId="66821D1E" w:rsidR="00AA615A" w:rsidRPr="00D244AC" w:rsidRDefault="00AA615A" w:rsidP="00AF42B9">
      <w:pPr>
        <w:spacing w:after="0"/>
        <w:ind w:left="300" w:hangingChars="150" w:hanging="300"/>
        <w:rPr>
          <w:rFonts w:ascii="Arial" w:eastAsiaTheme="minorEastAsia" w:hAnsi="Arial" w:cs="Arial"/>
          <w:bCs/>
          <w:color w:val="000000" w:themeColor="text1"/>
        </w:rPr>
      </w:pPr>
      <w:r w:rsidRPr="00D244AC">
        <w:rPr>
          <w:rFonts w:ascii="Arial" w:eastAsiaTheme="minorEastAsia" w:hAnsi="Arial" w:cs="Arial"/>
          <w:bCs/>
          <w:color w:val="000000" w:themeColor="text1"/>
        </w:rPr>
        <w:t>[2] R4-2002895 Email discussion summary for RAN4#94e_#28_ENDC_UE_PC2_FDD_TDD, China Unicom</w:t>
      </w:r>
    </w:p>
    <w:p w14:paraId="16F131DB" w14:textId="77777777" w:rsidR="00AA615A" w:rsidRPr="00D244AC" w:rsidRDefault="00AA615A" w:rsidP="00AA615A">
      <w:pPr>
        <w:spacing w:after="0"/>
        <w:ind w:left="300" w:hangingChars="150" w:hanging="300"/>
        <w:rPr>
          <w:rFonts w:ascii="Arial" w:eastAsiaTheme="minorEastAsia" w:hAnsi="Arial" w:cs="Arial"/>
          <w:bCs/>
          <w:color w:val="000000" w:themeColor="text1"/>
        </w:rPr>
      </w:pPr>
      <w:r w:rsidRPr="00D244AC">
        <w:rPr>
          <w:rFonts w:ascii="Arial" w:eastAsiaTheme="minorEastAsia" w:hAnsi="Arial" w:cs="Arial"/>
          <w:bCs/>
          <w:color w:val="000000" w:themeColor="text1"/>
        </w:rPr>
        <w:t>[3] R4-2001326 Specification of EN-DC Power Class 2 for FDD-TDD band combinations, Ericsson</w:t>
      </w:r>
    </w:p>
    <w:p w14:paraId="6EC1A1BF" w14:textId="5F914E85" w:rsidR="00AA615A" w:rsidRPr="00D244AC" w:rsidRDefault="00AA615A" w:rsidP="00AA615A">
      <w:pPr>
        <w:spacing w:after="0"/>
        <w:ind w:left="300" w:hangingChars="150" w:hanging="300"/>
        <w:rPr>
          <w:rFonts w:ascii="Arial" w:eastAsiaTheme="minorEastAsia" w:hAnsi="Arial" w:cs="Arial"/>
          <w:bCs/>
          <w:color w:val="000000" w:themeColor="text1"/>
        </w:rPr>
      </w:pPr>
      <w:r w:rsidRPr="00D244AC">
        <w:rPr>
          <w:rFonts w:ascii="Arial" w:eastAsiaTheme="minorEastAsia" w:hAnsi="Arial" w:cs="Arial"/>
          <w:bCs/>
          <w:color w:val="000000" w:themeColor="text1"/>
        </w:rPr>
        <w:t>[4] R4-2002097 Power class and configured power for PC2 FDD-TDD EN-DC, Qualcomm</w:t>
      </w:r>
    </w:p>
    <w:p w14:paraId="21991C6F" w14:textId="59FAE0CA" w:rsidR="00C03744" w:rsidRPr="00D244AC" w:rsidRDefault="00E050DE" w:rsidP="00AF42B9">
      <w:pPr>
        <w:spacing w:after="0"/>
        <w:ind w:left="300" w:hangingChars="150" w:hanging="300"/>
        <w:rPr>
          <w:rFonts w:ascii="Arial" w:eastAsiaTheme="minorEastAsia" w:hAnsi="Arial" w:cs="Arial"/>
          <w:bCs/>
          <w:color w:val="000000" w:themeColor="text1"/>
        </w:rPr>
      </w:pPr>
      <w:r w:rsidRPr="00D244AC">
        <w:rPr>
          <w:rFonts w:ascii="Arial" w:eastAsiaTheme="minorEastAsia" w:hAnsi="Arial" w:cs="Arial"/>
          <w:bCs/>
          <w:color w:val="000000" w:themeColor="text1"/>
        </w:rPr>
        <w:t>[</w:t>
      </w:r>
      <w:r w:rsidR="00AA615A" w:rsidRPr="00D244AC">
        <w:rPr>
          <w:rFonts w:ascii="Arial" w:eastAsiaTheme="minorEastAsia" w:hAnsi="Arial" w:cs="Arial"/>
          <w:bCs/>
          <w:color w:val="000000" w:themeColor="text1"/>
        </w:rPr>
        <w:t>5</w:t>
      </w:r>
      <w:r w:rsidRPr="00D244AC">
        <w:rPr>
          <w:rFonts w:ascii="Arial" w:eastAsiaTheme="minorEastAsia" w:hAnsi="Arial" w:cs="Arial"/>
          <w:bCs/>
          <w:color w:val="000000" w:themeColor="text1"/>
        </w:rPr>
        <w:t>]</w:t>
      </w:r>
      <w:r w:rsidR="00AA615A" w:rsidRPr="00D244AC">
        <w:rPr>
          <w:rFonts w:ascii="Arial" w:eastAsiaTheme="minorEastAsia" w:hAnsi="Arial" w:cs="Arial"/>
          <w:bCs/>
          <w:color w:val="000000" w:themeColor="text1"/>
        </w:rPr>
        <w:t xml:space="preserve"> R4-1916182 </w:t>
      </w:r>
      <w:r w:rsidR="00C03744" w:rsidRPr="00D244AC">
        <w:rPr>
          <w:rFonts w:ascii="Arial" w:eastAsiaTheme="minorEastAsia" w:hAnsi="Arial" w:cs="Arial"/>
          <w:bCs/>
          <w:color w:val="000000" w:themeColor="text1"/>
        </w:rPr>
        <w:t>TP for TR 37.815 high power UE (PC2) for EN-DC FDD-TDD, Samsung, CHTTL</w:t>
      </w:r>
    </w:p>
    <w:p w14:paraId="3B03E89D" w14:textId="77777777" w:rsidR="00CF0E54" w:rsidRPr="00D244AC" w:rsidRDefault="00CF0E54" w:rsidP="00AE6DC9">
      <w:pPr>
        <w:spacing w:after="0"/>
        <w:ind w:left="300" w:hangingChars="150" w:hanging="300"/>
        <w:rPr>
          <w:rFonts w:ascii="Arial" w:eastAsiaTheme="minorEastAsia" w:hAnsi="Arial" w:cs="Arial"/>
          <w:color w:val="000000" w:themeColor="text1"/>
          <w:lang w:val="en-US"/>
        </w:rPr>
      </w:pPr>
    </w:p>
    <w:sectPr w:rsidR="00CF0E54" w:rsidRPr="00D244AC" w:rsidSect="00CF0E54">
      <w:headerReference w:type="even" r:id="rId9"/>
      <w:footnotePr>
        <w:numRestart w:val="eachSect"/>
      </w:footnotePr>
      <w:endnotePr>
        <w:numRestart w:val="eachSect"/>
      </w:end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3F363" w14:textId="77777777" w:rsidR="00F77B79" w:rsidRDefault="00F77B79">
      <w:pPr>
        <w:spacing w:after="0"/>
      </w:pPr>
      <w:r>
        <w:separator/>
      </w:r>
    </w:p>
  </w:endnote>
  <w:endnote w:type="continuationSeparator" w:id="0">
    <w:p w14:paraId="3F275B5F" w14:textId="77777777" w:rsidR="00F77B79" w:rsidRDefault="00F77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07952" w14:textId="77777777" w:rsidR="00F77B79" w:rsidRDefault="00F77B79">
      <w:pPr>
        <w:spacing w:after="0"/>
      </w:pPr>
      <w:r>
        <w:separator/>
      </w:r>
    </w:p>
  </w:footnote>
  <w:footnote w:type="continuationSeparator" w:id="0">
    <w:p w14:paraId="4F7BB167" w14:textId="77777777" w:rsidR="00F77B79" w:rsidRDefault="00F77B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B3AC" w14:textId="77777777" w:rsidR="007A32FF" w:rsidRDefault="007A32FF">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3144A4"/>
    <w:multiLevelType w:val="hybridMultilevel"/>
    <w:tmpl w:val="1D663F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7547B"/>
    <w:multiLevelType w:val="hybridMultilevel"/>
    <w:tmpl w:val="D7186768"/>
    <w:lvl w:ilvl="0" w:tplc="9918971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1419E"/>
    <w:multiLevelType w:val="hybridMultilevel"/>
    <w:tmpl w:val="168ECA5E"/>
    <w:lvl w:ilvl="0" w:tplc="F588F932">
      <w:start w:val="1"/>
      <w:numFmt w:val="bullet"/>
      <w:lvlText w:val="•"/>
      <w:lvlJc w:val="left"/>
      <w:pPr>
        <w:tabs>
          <w:tab w:val="num" w:pos="720"/>
        </w:tabs>
        <w:ind w:left="720" w:hanging="360"/>
      </w:pPr>
      <w:rPr>
        <w:rFonts w:ascii="Arial" w:hAnsi="Arial" w:hint="default"/>
      </w:rPr>
    </w:lvl>
    <w:lvl w:ilvl="1" w:tplc="B5C4A5A8">
      <w:start w:val="1"/>
      <w:numFmt w:val="bullet"/>
      <w:lvlText w:val="•"/>
      <w:lvlJc w:val="left"/>
      <w:pPr>
        <w:tabs>
          <w:tab w:val="num" w:pos="1440"/>
        </w:tabs>
        <w:ind w:left="1440" w:hanging="360"/>
      </w:pPr>
      <w:rPr>
        <w:rFonts w:ascii="Arial" w:hAnsi="Arial" w:hint="default"/>
      </w:rPr>
    </w:lvl>
    <w:lvl w:ilvl="2" w:tplc="C95EC77A" w:tentative="1">
      <w:start w:val="1"/>
      <w:numFmt w:val="bullet"/>
      <w:lvlText w:val="•"/>
      <w:lvlJc w:val="left"/>
      <w:pPr>
        <w:tabs>
          <w:tab w:val="num" w:pos="2160"/>
        </w:tabs>
        <w:ind w:left="2160" w:hanging="360"/>
      </w:pPr>
      <w:rPr>
        <w:rFonts w:ascii="Arial" w:hAnsi="Arial" w:hint="default"/>
      </w:rPr>
    </w:lvl>
    <w:lvl w:ilvl="3" w:tplc="063815C6" w:tentative="1">
      <w:start w:val="1"/>
      <w:numFmt w:val="bullet"/>
      <w:lvlText w:val="•"/>
      <w:lvlJc w:val="left"/>
      <w:pPr>
        <w:tabs>
          <w:tab w:val="num" w:pos="2880"/>
        </w:tabs>
        <w:ind w:left="2880" w:hanging="360"/>
      </w:pPr>
      <w:rPr>
        <w:rFonts w:ascii="Arial" w:hAnsi="Arial" w:hint="default"/>
      </w:rPr>
    </w:lvl>
    <w:lvl w:ilvl="4" w:tplc="D3CA671A" w:tentative="1">
      <w:start w:val="1"/>
      <w:numFmt w:val="bullet"/>
      <w:lvlText w:val="•"/>
      <w:lvlJc w:val="left"/>
      <w:pPr>
        <w:tabs>
          <w:tab w:val="num" w:pos="3600"/>
        </w:tabs>
        <w:ind w:left="3600" w:hanging="360"/>
      </w:pPr>
      <w:rPr>
        <w:rFonts w:ascii="Arial" w:hAnsi="Arial" w:hint="default"/>
      </w:rPr>
    </w:lvl>
    <w:lvl w:ilvl="5" w:tplc="E056D4C0" w:tentative="1">
      <w:start w:val="1"/>
      <w:numFmt w:val="bullet"/>
      <w:lvlText w:val="•"/>
      <w:lvlJc w:val="left"/>
      <w:pPr>
        <w:tabs>
          <w:tab w:val="num" w:pos="4320"/>
        </w:tabs>
        <w:ind w:left="4320" w:hanging="360"/>
      </w:pPr>
      <w:rPr>
        <w:rFonts w:ascii="Arial" w:hAnsi="Arial" w:hint="default"/>
      </w:rPr>
    </w:lvl>
    <w:lvl w:ilvl="6" w:tplc="81AE8044" w:tentative="1">
      <w:start w:val="1"/>
      <w:numFmt w:val="bullet"/>
      <w:lvlText w:val="•"/>
      <w:lvlJc w:val="left"/>
      <w:pPr>
        <w:tabs>
          <w:tab w:val="num" w:pos="5040"/>
        </w:tabs>
        <w:ind w:left="5040" w:hanging="360"/>
      </w:pPr>
      <w:rPr>
        <w:rFonts w:ascii="Arial" w:hAnsi="Arial" w:hint="default"/>
      </w:rPr>
    </w:lvl>
    <w:lvl w:ilvl="7" w:tplc="59CEB9C6" w:tentative="1">
      <w:start w:val="1"/>
      <w:numFmt w:val="bullet"/>
      <w:lvlText w:val="•"/>
      <w:lvlJc w:val="left"/>
      <w:pPr>
        <w:tabs>
          <w:tab w:val="num" w:pos="5760"/>
        </w:tabs>
        <w:ind w:left="5760" w:hanging="360"/>
      </w:pPr>
      <w:rPr>
        <w:rFonts w:ascii="Arial" w:hAnsi="Arial" w:hint="default"/>
      </w:rPr>
    </w:lvl>
    <w:lvl w:ilvl="8" w:tplc="83A4B4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DC55DE"/>
    <w:multiLevelType w:val="hybridMultilevel"/>
    <w:tmpl w:val="D90E89D0"/>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46678"/>
    <w:multiLevelType w:val="hybridMultilevel"/>
    <w:tmpl w:val="8E8AE7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EF6E3E"/>
    <w:multiLevelType w:val="hybridMultilevel"/>
    <w:tmpl w:val="092C60C6"/>
    <w:lvl w:ilvl="0" w:tplc="883619E0">
      <w:numFmt w:val="bullet"/>
      <w:lvlText w:val="-"/>
      <w:lvlJc w:val="left"/>
      <w:pPr>
        <w:ind w:left="620" w:hanging="420"/>
      </w:pPr>
      <w:rPr>
        <w:rFonts w:ascii="Times New Roman" w:eastAsia="Calibri"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6C0549"/>
    <w:multiLevelType w:val="hybridMultilevel"/>
    <w:tmpl w:val="F88A85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1F45F6"/>
    <w:multiLevelType w:val="hybridMultilevel"/>
    <w:tmpl w:val="597E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272345"/>
    <w:multiLevelType w:val="hybridMultilevel"/>
    <w:tmpl w:val="7F72BFC4"/>
    <w:lvl w:ilvl="0" w:tplc="31981786">
      <w:start w:val="1"/>
      <w:numFmt w:val="bullet"/>
      <w:lvlText w:val="•"/>
      <w:lvlJc w:val="left"/>
      <w:pPr>
        <w:tabs>
          <w:tab w:val="num" w:pos="644"/>
        </w:tabs>
        <w:ind w:left="644" w:hanging="360"/>
      </w:pPr>
      <w:rPr>
        <w:rFonts w:ascii="Arial" w:hAnsi="Arial" w:hint="default"/>
      </w:rPr>
    </w:lvl>
    <w:lvl w:ilvl="1" w:tplc="14067FA6">
      <w:numFmt w:val="bullet"/>
      <w:lvlText w:val="-"/>
      <w:lvlJc w:val="left"/>
      <w:pPr>
        <w:tabs>
          <w:tab w:val="num" w:pos="1364"/>
        </w:tabs>
        <w:ind w:left="1364" w:hanging="360"/>
      </w:pPr>
      <w:rPr>
        <w:rFonts w:ascii="Times New Roman" w:eastAsia="Yu Mincho" w:hAnsi="Times New Roman" w:cs="Times New Roman" w:hint="default"/>
      </w:rPr>
    </w:lvl>
    <w:lvl w:ilvl="2" w:tplc="14067FA6">
      <w:numFmt w:val="bullet"/>
      <w:lvlText w:val="-"/>
      <w:lvlJc w:val="left"/>
      <w:pPr>
        <w:tabs>
          <w:tab w:val="num" w:pos="2084"/>
        </w:tabs>
        <w:ind w:left="2084" w:hanging="360"/>
      </w:pPr>
      <w:rPr>
        <w:rFonts w:ascii="Times New Roman" w:eastAsia="Yu Mincho" w:hAnsi="Times New Roman" w:cs="Times New Roman" w:hint="default"/>
      </w:rPr>
    </w:lvl>
    <w:lvl w:ilvl="3" w:tplc="95F42A86" w:tentative="1">
      <w:start w:val="1"/>
      <w:numFmt w:val="bullet"/>
      <w:lvlText w:val="•"/>
      <w:lvlJc w:val="left"/>
      <w:pPr>
        <w:tabs>
          <w:tab w:val="num" w:pos="2804"/>
        </w:tabs>
        <w:ind w:left="2804" w:hanging="360"/>
      </w:pPr>
      <w:rPr>
        <w:rFonts w:ascii="Arial" w:hAnsi="Arial" w:hint="default"/>
      </w:rPr>
    </w:lvl>
    <w:lvl w:ilvl="4" w:tplc="E16EE418" w:tentative="1">
      <w:start w:val="1"/>
      <w:numFmt w:val="bullet"/>
      <w:lvlText w:val="•"/>
      <w:lvlJc w:val="left"/>
      <w:pPr>
        <w:tabs>
          <w:tab w:val="num" w:pos="3524"/>
        </w:tabs>
        <w:ind w:left="3524" w:hanging="360"/>
      </w:pPr>
      <w:rPr>
        <w:rFonts w:ascii="Arial" w:hAnsi="Arial" w:hint="default"/>
      </w:rPr>
    </w:lvl>
    <w:lvl w:ilvl="5" w:tplc="1B54DE22" w:tentative="1">
      <w:start w:val="1"/>
      <w:numFmt w:val="bullet"/>
      <w:lvlText w:val="•"/>
      <w:lvlJc w:val="left"/>
      <w:pPr>
        <w:tabs>
          <w:tab w:val="num" w:pos="4244"/>
        </w:tabs>
        <w:ind w:left="4244" w:hanging="360"/>
      </w:pPr>
      <w:rPr>
        <w:rFonts w:ascii="Arial" w:hAnsi="Arial" w:hint="default"/>
      </w:rPr>
    </w:lvl>
    <w:lvl w:ilvl="6" w:tplc="4BD6AEF6" w:tentative="1">
      <w:start w:val="1"/>
      <w:numFmt w:val="bullet"/>
      <w:lvlText w:val="•"/>
      <w:lvlJc w:val="left"/>
      <w:pPr>
        <w:tabs>
          <w:tab w:val="num" w:pos="4964"/>
        </w:tabs>
        <w:ind w:left="4964" w:hanging="360"/>
      </w:pPr>
      <w:rPr>
        <w:rFonts w:ascii="Arial" w:hAnsi="Arial" w:hint="default"/>
      </w:rPr>
    </w:lvl>
    <w:lvl w:ilvl="7" w:tplc="9C3074AA" w:tentative="1">
      <w:start w:val="1"/>
      <w:numFmt w:val="bullet"/>
      <w:lvlText w:val="•"/>
      <w:lvlJc w:val="left"/>
      <w:pPr>
        <w:tabs>
          <w:tab w:val="num" w:pos="5684"/>
        </w:tabs>
        <w:ind w:left="5684" w:hanging="360"/>
      </w:pPr>
      <w:rPr>
        <w:rFonts w:ascii="Arial" w:hAnsi="Arial" w:hint="default"/>
      </w:rPr>
    </w:lvl>
    <w:lvl w:ilvl="8" w:tplc="0AAEEF98"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6B340521"/>
    <w:multiLevelType w:val="hybridMultilevel"/>
    <w:tmpl w:val="D4CAD5FA"/>
    <w:lvl w:ilvl="0" w:tplc="4EAA4240">
      <w:start w:val="1"/>
      <w:numFmt w:val="decimal"/>
      <w:lvlText w:val="%1."/>
      <w:lvlJc w:val="left"/>
      <w:pPr>
        <w:tabs>
          <w:tab w:val="num" w:pos="720"/>
        </w:tabs>
        <w:ind w:left="720" w:hanging="360"/>
      </w:pPr>
    </w:lvl>
    <w:lvl w:ilvl="1" w:tplc="21FC13D0" w:tentative="1">
      <w:start w:val="1"/>
      <w:numFmt w:val="decimal"/>
      <w:lvlText w:val="%2."/>
      <w:lvlJc w:val="left"/>
      <w:pPr>
        <w:tabs>
          <w:tab w:val="num" w:pos="1440"/>
        </w:tabs>
        <w:ind w:left="1440" w:hanging="360"/>
      </w:pPr>
    </w:lvl>
    <w:lvl w:ilvl="2" w:tplc="99FCE652" w:tentative="1">
      <w:start w:val="1"/>
      <w:numFmt w:val="decimal"/>
      <w:lvlText w:val="%3."/>
      <w:lvlJc w:val="left"/>
      <w:pPr>
        <w:tabs>
          <w:tab w:val="num" w:pos="2160"/>
        </w:tabs>
        <w:ind w:left="2160" w:hanging="360"/>
      </w:pPr>
    </w:lvl>
    <w:lvl w:ilvl="3" w:tplc="9E22276A" w:tentative="1">
      <w:start w:val="1"/>
      <w:numFmt w:val="decimal"/>
      <w:lvlText w:val="%4."/>
      <w:lvlJc w:val="left"/>
      <w:pPr>
        <w:tabs>
          <w:tab w:val="num" w:pos="2880"/>
        </w:tabs>
        <w:ind w:left="2880" w:hanging="360"/>
      </w:pPr>
    </w:lvl>
    <w:lvl w:ilvl="4" w:tplc="84D44564" w:tentative="1">
      <w:start w:val="1"/>
      <w:numFmt w:val="decimal"/>
      <w:lvlText w:val="%5."/>
      <w:lvlJc w:val="left"/>
      <w:pPr>
        <w:tabs>
          <w:tab w:val="num" w:pos="3600"/>
        </w:tabs>
        <w:ind w:left="3600" w:hanging="360"/>
      </w:pPr>
    </w:lvl>
    <w:lvl w:ilvl="5" w:tplc="78387FDA" w:tentative="1">
      <w:start w:val="1"/>
      <w:numFmt w:val="decimal"/>
      <w:lvlText w:val="%6."/>
      <w:lvlJc w:val="left"/>
      <w:pPr>
        <w:tabs>
          <w:tab w:val="num" w:pos="4320"/>
        </w:tabs>
        <w:ind w:left="4320" w:hanging="360"/>
      </w:pPr>
    </w:lvl>
    <w:lvl w:ilvl="6" w:tplc="39B41E04" w:tentative="1">
      <w:start w:val="1"/>
      <w:numFmt w:val="decimal"/>
      <w:lvlText w:val="%7."/>
      <w:lvlJc w:val="left"/>
      <w:pPr>
        <w:tabs>
          <w:tab w:val="num" w:pos="5040"/>
        </w:tabs>
        <w:ind w:left="5040" w:hanging="360"/>
      </w:pPr>
    </w:lvl>
    <w:lvl w:ilvl="7" w:tplc="DEF62702" w:tentative="1">
      <w:start w:val="1"/>
      <w:numFmt w:val="decimal"/>
      <w:lvlText w:val="%8."/>
      <w:lvlJc w:val="left"/>
      <w:pPr>
        <w:tabs>
          <w:tab w:val="num" w:pos="5760"/>
        </w:tabs>
        <w:ind w:left="5760" w:hanging="360"/>
      </w:pPr>
    </w:lvl>
    <w:lvl w:ilvl="8" w:tplc="C0E46DF2" w:tentative="1">
      <w:start w:val="1"/>
      <w:numFmt w:val="decimal"/>
      <w:lvlText w:val="%9."/>
      <w:lvlJc w:val="left"/>
      <w:pPr>
        <w:tabs>
          <w:tab w:val="num" w:pos="6480"/>
        </w:tabs>
        <w:ind w:left="6480" w:hanging="360"/>
      </w:pPr>
    </w:lvl>
  </w:abstractNum>
  <w:abstractNum w:abstractNumId="12" w15:restartNumberingAfterBreak="0">
    <w:nsid w:val="70C463A5"/>
    <w:multiLevelType w:val="hybridMultilevel"/>
    <w:tmpl w:val="18B665A2"/>
    <w:lvl w:ilvl="0" w:tplc="31981786">
      <w:start w:val="1"/>
      <w:numFmt w:val="bullet"/>
      <w:lvlText w:val="•"/>
      <w:lvlJc w:val="left"/>
      <w:pPr>
        <w:tabs>
          <w:tab w:val="num" w:pos="644"/>
        </w:tabs>
        <w:ind w:left="644" w:hanging="360"/>
      </w:pPr>
      <w:rPr>
        <w:rFonts w:ascii="Arial" w:hAnsi="Arial" w:hint="default"/>
      </w:rPr>
    </w:lvl>
    <w:lvl w:ilvl="1" w:tplc="14067FA6">
      <w:numFmt w:val="bullet"/>
      <w:lvlText w:val="-"/>
      <w:lvlJc w:val="left"/>
      <w:pPr>
        <w:tabs>
          <w:tab w:val="num" w:pos="1364"/>
        </w:tabs>
        <w:ind w:left="1364" w:hanging="360"/>
      </w:pPr>
      <w:rPr>
        <w:rFonts w:ascii="Times New Roman" w:eastAsia="Yu Mincho" w:hAnsi="Times New Roman" w:cs="Times New Roman" w:hint="default"/>
      </w:rPr>
    </w:lvl>
    <w:lvl w:ilvl="2" w:tplc="DE7AAECE">
      <w:start w:val="174"/>
      <w:numFmt w:val="bullet"/>
      <w:lvlText w:val=""/>
      <w:lvlJc w:val="left"/>
      <w:pPr>
        <w:tabs>
          <w:tab w:val="num" w:pos="2084"/>
        </w:tabs>
        <w:ind w:left="2084" w:hanging="360"/>
      </w:pPr>
      <w:rPr>
        <w:rFonts w:ascii="Wingdings" w:hAnsi="Wingdings" w:hint="default"/>
      </w:rPr>
    </w:lvl>
    <w:lvl w:ilvl="3" w:tplc="95F42A86" w:tentative="1">
      <w:start w:val="1"/>
      <w:numFmt w:val="bullet"/>
      <w:lvlText w:val="•"/>
      <w:lvlJc w:val="left"/>
      <w:pPr>
        <w:tabs>
          <w:tab w:val="num" w:pos="2804"/>
        </w:tabs>
        <w:ind w:left="2804" w:hanging="360"/>
      </w:pPr>
      <w:rPr>
        <w:rFonts w:ascii="Arial" w:hAnsi="Arial" w:hint="default"/>
      </w:rPr>
    </w:lvl>
    <w:lvl w:ilvl="4" w:tplc="E16EE418" w:tentative="1">
      <w:start w:val="1"/>
      <w:numFmt w:val="bullet"/>
      <w:lvlText w:val="•"/>
      <w:lvlJc w:val="left"/>
      <w:pPr>
        <w:tabs>
          <w:tab w:val="num" w:pos="3524"/>
        </w:tabs>
        <w:ind w:left="3524" w:hanging="360"/>
      </w:pPr>
      <w:rPr>
        <w:rFonts w:ascii="Arial" w:hAnsi="Arial" w:hint="default"/>
      </w:rPr>
    </w:lvl>
    <w:lvl w:ilvl="5" w:tplc="1B54DE22" w:tentative="1">
      <w:start w:val="1"/>
      <w:numFmt w:val="bullet"/>
      <w:lvlText w:val="•"/>
      <w:lvlJc w:val="left"/>
      <w:pPr>
        <w:tabs>
          <w:tab w:val="num" w:pos="4244"/>
        </w:tabs>
        <w:ind w:left="4244" w:hanging="360"/>
      </w:pPr>
      <w:rPr>
        <w:rFonts w:ascii="Arial" w:hAnsi="Arial" w:hint="default"/>
      </w:rPr>
    </w:lvl>
    <w:lvl w:ilvl="6" w:tplc="4BD6AEF6" w:tentative="1">
      <w:start w:val="1"/>
      <w:numFmt w:val="bullet"/>
      <w:lvlText w:val="•"/>
      <w:lvlJc w:val="left"/>
      <w:pPr>
        <w:tabs>
          <w:tab w:val="num" w:pos="4964"/>
        </w:tabs>
        <w:ind w:left="4964" w:hanging="360"/>
      </w:pPr>
      <w:rPr>
        <w:rFonts w:ascii="Arial" w:hAnsi="Arial" w:hint="default"/>
      </w:rPr>
    </w:lvl>
    <w:lvl w:ilvl="7" w:tplc="9C3074AA" w:tentative="1">
      <w:start w:val="1"/>
      <w:numFmt w:val="bullet"/>
      <w:lvlText w:val="•"/>
      <w:lvlJc w:val="left"/>
      <w:pPr>
        <w:tabs>
          <w:tab w:val="num" w:pos="5684"/>
        </w:tabs>
        <w:ind w:left="5684" w:hanging="360"/>
      </w:pPr>
      <w:rPr>
        <w:rFonts w:ascii="Arial" w:hAnsi="Arial" w:hint="default"/>
      </w:rPr>
    </w:lvl>
    <w:lvl w:ilvl="8" w:tplc="0AAEEF98"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430287C"/>
    <w:multiLevelType w:val="hybridMultilevel"/>
    <w:tmpl w:val="C02601CA"/>
    <w:lvl w:ilvl="0" w:tplc="1264D7F8">
      <w:start w:val="1"/>
      <w:numFmt w:val="bullet"/>
      <w:lvlText w:val="•"/>
      <w:lvlJc w:val="left"/>
      <w:pPr>
        <w:tabs>
          <w:tab w:val="num" w:pos="720"/>
        </w:tabs>
        <w:ind w:left="720" w:hanging="360"/>
      </w:pPr>
      <w:rPr>
        <w:rFonts w:ascii="Arial" w:hAnsi="Arial" w:hint="default"/>
      </w:rPr>
    </w:lvl>
    <w:lvl w:ilvl="1" w:tplc="FB00B3AC">
      <w:start w:val="174"/>
      <w:numFmt w:val="bullet"/>
      <w:lvlText w:val="•"/>
      <w:lvlJc w:val="left"/>
      <w:pPr>
        <w:tabs>
          <w:tab w:val="num" w:pos="1440"/>
        </w:tabs>
        <w:ind w:left="1440" w:hanging="360"/>
      </w:pPr>
      <w:rPr>
        <w:rFonts w:ascii="Arial" w:hAnsi="Arial" w:hint="default"/>
      </w:rPr>
    </w:lvl>
    <w:lvl w:ilvl="2" w:tplc="580AF11E">
      <w:start w:val="1"/>
      <w:numFmt w:val="bullet"/>
      <w:lvlText w:val="•"/>
      <w:lvlJc w:val="left"/>
      <w:pPr>
        <w:tabs>
          <w:tab w:val="num" w:pos="2160"/>
        </w:tabs>
        <w:ind w:left="2160" w:hanging="360"/>
      </w:pPr>
      <w:rPr>
        <w:rFonts w:ascii="Arial" w:hAnsi="Arial" w:hint="default"/>
      </w:rPr>
    </w:lvl>
    <w:lvl w:ilvl="3" w:tplc="957051C0">
      <w:start w:val="1"/>
      <w:numFmt w:val="bullet"/>
      <w:lvlText w:val="•"/>
      <w:lvlJc w:val="left"/>
      <w:pPr>
        <w:tabs>
          <w:tab w:val="num" w:pos="2880"/>
        </w:tabs>
        <w:ind w:left="2880" w:hanging="360"/>
      </w:pPr>
      <w:rPr>
        <w:rFonts w:ascii="Arial" w:hAnsi="Arial" w:hint="default"/>
      </w:rPr>
    </w:lvl>
    <w:lvl w:ilvl="4" w:tplc="9796DDC8" w:tentative="1">
      <w:start w:val="1"/>
      <w:numFmt w:val="bullet"/>
      <w:lvlText w:val="•"/>
      <w:lvlJc w:val="left"/>
      <w:pPr>
        <w:tabs>
          <w:tab w:val="num" w:pos="3600"/>
        </w:tabs>
        <w:ind w:left="3600" w:hanging="360"/>
      </w:pPr>
      <w:rPr>
        <w:rFonts w:ascii="Arial" w:hAnsi="Arial" w:hint="default"/>
      </w:rPr>
    </w:lvl>
    <w:lvl w:ilvl="5" w:tplc="FCDAC55E" w:tentative="1">
      <w:start w:val="1"/>
      <w:numFmt w:val="bullet"/>
      <w:lvlText w:val="•"/>
      <w:lvlJc w:val="left"/>
      <w:pPr>
        <w:tabs>
          <w:tab w:val="num" w:pos="4320"/>
        </w:tabs>
        <w:ind w:left="4320" w:hanging="360"/>
      </w:pPr>
      <w:rPr>
        <w:rFonts w:ascii="Arial" w:hAnsi="Arial" w:hint="default"/>
      </w:rPr>
    </w:lvl>
    <w:lvl w:ilvl="6" w:tplc="3962DF62" w:tentative="1">
      <w:start w:val="1"/>
      <w:numFmt w:val="bullet"/>
      <w:lvlText w:val="•"/>
      <w:lvlJc w:val="left"/>
      <w:pPr>
        <w:tabs>
          <w:tab w:val="num" w:pos="5040"/>
        </w:tabs>
        <w:ind w:left="5040" w:hanging="360"/>
      </w:pPr>
      <w:rPr>
        <w:rFonts w:ascii="Arial" w:hAnsi="Arial" w:hint="default"/>
      </w:rPr>
    </w:lvl>
    <w:lvl w:ilvl="7" w:tplc="547EC900" w:tentative="1">
      <w:start w:val="1"/>
      <w:numFmt w:val="bullet"/>
      <w:lvlText w:val="•"/>
      <w:lvlJc w:val="left"/>
      <w:pPr>
        <w:tabs>
          <w:tab w:val="num" w:pos="5760"/>
        </w:tabs>
        <w:ind w:left="5760" w:hanging="360"/>
      </w:pPr>
      <w:rPr>
        <w:rFonts w:ascii="Arial" w:hAnsi="Arial" w:hint="default"/>
      </w:rPr>
    </w:lvl>
    <w:lvl w:ilvl="8" w:tplc="77C08F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709FA"/>
    <w:multiLevelType w:val="hybridMultilevel"/>
    <w:tmpl w:val="B5DA1C0A"/>
    <w:lvl w:ilvl="0" w:tplc="31981786">
      <w:start w:val="1"/>
      <w:numFmt w:val="bullet"/>
      <w:lvlText w:val="•"/>
      <w:lvlJc w:val="left"/>
      <w:pPr>
        <w:tabs>
          <w:tab w:val="num" w:pos="644"/>
        </w:tabs>
        <w:ind w:left="644" w:hanging="360"/>
      </w:pPr>
      <w:rPr>
        <w:rFonts w:ascii="Arial" w:hAnsi="Arial" w:hint="default"/>
      </w:rPr>
    </w:lvl>
    <w:lvl w:ilvl="1" w:tplc="B91CEB50">
      <w:start w:val="174"/>
      <w:numFmt w:val="bullet"/>
      <w:lvlText w:val="•"/>
      <w:lvlJc w:val="left"/>
      <w:pPr>
        <w:tabs>
          <w:tab w:val="num" w:pos="1364"/>
        </w:tabs>
        <w:ind w:left="1364" w:hanging="360"/>
      </w:pPr>
      <w:rPr>
        <w:rFonts w:ascii="Arial" w:hAnsi="Arial" w:hint="default"/>
      </w:rPr>
    </w:lvl>
    <w:lvl w:ilvl="2" w:tplc="DE7AAECE">
      <w:start w:val="174"/>
      <w:numFmt w:val="bullet"/>
      <w:lvlText w:val=""/>
      <w:lvlJc w:val="left"/>
      <w:pPr>
        <w:tabs>
          <w:tab w:val="num" w:pos="2084"/>
        </w:tabs>
        <w:ind w:left="2084" w:hanging="360"/>
      </w:pPr>
      <w:rPr>
        <w:rFonts w:ascii="Wingdings" w:hAnsi="Wingdings" w:hint="default"/>
      </w:rPr>
    </w:lvl>
    <w:lvl w:ilvl="3" w:tplc="95F42A86" w:tentative="1">
      <w:start w:val="1"/>
      <w:numFmt w:val="bullet"/>
      <w:lvlText w:val="•"/>
      <w:lvlJc w:val="left"/>
      <w:pPr>
        <w:tabs>
          <w:tab w:val="num" w:pos="2804"/>
        </w:tabs>
        <w:ind w:left="2804" w:hanging="360"/>
      </w:pPr>
      <w:rPr>
        <w:rFonts w:ascii="Arial" w:hAnsi="Arial" w:hint="default"/>
      </w:rPr>
    </w:lvl>
    <w:lvl w:ilvl="4" w:tplc="E16EE418" w:tentative="1">
      <w:start w:val="1"/>
      <w:numFmt w:val="bullet"/>
      <w:lvlText w:val="•"/>
      <w:lvlJc w:val="left"/>
      <w:pPr>
        <w:tabs>
          <w:tab w:val="num" w:pos="3524"/>
        </w:tabs>
        <w:ind w:left="3524" w:hanging="360"/>
      </w:pPr>
      <w:rPr>
        <w:rFonts w:ascii="Arial" w:hAnsi="Arial" w:hint="default"/>
      </w:rPr>
    </w:lvl>
    <w:lvl w:ilvl="5" w:tplc="1B54DE22" w:tentative="1">
      <w:start w:val="1"/>
      <w:numFmt w:val="bullet"/>
      <w:lvlText w:val="•"/>
      <w:lvlJc w:val="left"/>
      <w:pPr>
        <w:tabs>
          <w:tab w:val="num" w:pos="4244"/>
        </w:tabs>
        <w:ind w:left="4244" w:hanging="360"/>
      </w:pPr>
      <w:rPr>
        <w:rFonts w:ascii="Arial" w:hAnsi="Arial" w:hint="default"/>
      </w:rPr>
    </w:lvl>
    <w:lvl w:ilvl="6" w:tplc="4BD6AEF6" w:tentative="1">
      <w:start w:val="1"/>
      <w:numFmt w:val="bullet"/>
      <w:lvlText w:val="•"/>
      <w:lvlJc w:val="left"/>
      <w:pPr>
        <w:tabs>
          <w:tab w:val="num" w:pos="4964"/>
        </w:tabs>
        <w:ind w:left="4964" w:hanging="360"/>
      </w:pPr>
      <w:rPr>
        <w:rFonts w:ascii="Arial" w:hAnsi="Arial" w:hint="default"/>
      </w:rPr>
    </w:lvl>
    <w:lvl w:ilvl="7" w:tplc="9C3074AA" w:tentative="1">
      <w:start w:val="1"/>
      <w:numFmt w:val="bullet"/>
      <w:lvlText w:val="•"/>
      <w:lvlJc w:val="left"/>
      <w:pPr>
        <w:tabs>
          <w:tab w:val="num" w:pos="5684"/>
        </w:tabs>
        <w:ind w:left="5684" w:hanging="360"/>
      </w:pPr>
      <w:rPr>
        <w:rFonts w:ascii="Arial" w:hAnsi="Arial" w:hint="default"/>
      </w:rPr>
    </w:lvl>
    <w:lvl w:ilvl="8" w:tplc="0AAEEF98"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7BE022BD"/>
    <w:multiLevelType w:val="hybridMultilevel"/>
    <w:tmpl w:val="B0764982"/>
    <w:lvl w:ilvl="0" w:tplc="83944D8E">
      <w:start w:val="1"/>
      <w:numFmt w:val="bullet"/>
      <w:lvlText w:val="•"/>
      <w:lvlJc w:val="left"/>
      <w:pPr>
        <w:tabs>
          <w:tab w:val="num" w:pos="720"/>
        </w:tabs>
        <w:ind w:left="720" w:hanging="360"/>
      </w:pPr>
      <w:rPr>
        <w:rFonts w:ascii="Arial" w:hAnsi="Arial" w:hint="default"/>
      </w:rPr>
    </w:lvl>
    <w:lvl w:ilvl="1" w:tplc="CBEA7072">
      <w:start w:val="247"/>
      <w:numFmt w:val="bullet"/>
      <w:lvlText w:val="•"/>
      <w:lvlJc w:val="left"/>
      <w:pPr>
        <w:tabs>
          <w:tab w:val="num" w:pos="1440"/>
        </w:tabs>
        <w:ind w:left="1440" w:hanging="360"/>
      </w:pPr>
      <w:rPr>
        <w:rFonts w:ascii="Arial" w:hAnsi="Arial" w:hint="default"/>
      </w:rPr>
    </w:lvl>
    <w:lvl w:ilvl="2" w:tplc="4EF8E352">
      <w:start w:val="247"/>
      <w:numFmt w:val="bullet"/>
      <w:lvlText w:val=""/>
      <w:lvlJc w:val="left"/>
      <w:pPr>
        <w:tabs>
          <w:tab w:val="num" w:pos="2160"/>
        </w:tabs>
        <w:ind w:left="2160" w:hanging="360"/>
      </w:pPr>
      <w:rPr>
        <w:rFonts w:ascii="Wingdings" w:hAnsi="Wingdings" w:hint="default"/>
      </w:rPr>
    </w:lvl>
    <w:lvl w:ilvl="3" w:tplc="44D04674" w:tentative="1">
      <w:start w:val="1"/>
      <w:numFmt w:val="bullet"/>
      <w:lvlText w:val="•"/>
      <w:lvlJc w:val="left"/>
      <w:pPr>
        <w:tabs>
          <w:tab w:val="num" w:pos="2880"/>
        </w:tabs>
        <w:ind w:left="2880" w:hanging="360"/>
      </w:pPr>
      <w:rPr>
        <w:rFonts w:ascii="Arial" w:hAnsi="Arial" w:hint="default"/>
      </w:rPr>
    </w:lvl>
    <w:lvl w:ilvl="4" w:tplc="3B0C8B18" w:tentative="1">
      <w:start w:val="1"/>
      <w:numFmt w:val="bullet"/>
      <w:lvlText w:val="•"/>
      <w:lvlJc w:val="left"/>
      <w:pPr>
        <w:tabs>
          <w:tab w:val="num" w:pos="3600"/>
        </w:tabs>
        <w:ind w:left="3600" w:hanging="360"/>
      </w:pPr>
      <w:rPr>
        <w:rFonts w:ascii="Arial" w:hAnsi="Arial" w:hint="default"/>
      </w:rPr>
    </w:lvl>
    <w:lvl w:ilvl="5" w:tplc="B9E417AA" w:tentative="1">
      <w:start w:val="1"/>
      <w:numFmt w:val="bullet"/>
      <w:lvlText w:val="•"/>
      <w:lvlJc w:val="left"/>
      <w:pPr>
        <w:tabs>
          <w:tab w:val="num" w:pos="4320"/>
        </w:tabs>
        <w:ind w:left="4320" w:hanging="360"/>
      </w:pPr>
      <w:rPr>
        <w:rFonts w:ascii="Arial" w:hAnsi="Arial" w:hint="default"/>
      </w:rPr>
    </w:lvl>
    <w:lvl w:ilvl="6" w:tplc="148A6310" w:tentative="1">
      <w:start w:val="1"/>
      <w:numFmt w:val="bullet"/>
      <w:lvlText w:val="•"/>
      <w:lvlJc w:val="left"/>
      <w:pPr>
        <w:tabs>
          <w:tab w:val="num" w:pos="5040"/>
        </w:tabs>
        <w:ind w:left="5040" w:hanging="360"/>
      </w:pPr>
      <w:rPr>
        <w:rFonts w:ascii="Arial" w:hAnsi="Arial" w:hint="default"/>
      </w:rPr>
    </w:lvl>
    <w:lvl w:ilvl="7" w:tplc="C540E380" w:tentative="1">
      <w:start w:val="1"/>
      <w:numFmt w:val="bullet"/>
      <w:lvlText w:val="•"/>
      <w:lvlJc w:val="left"/>
      <w:pPr>
        <w:tabs>
          <w:tab w:val="num" w:pos="5760"/>
        </w:tabs>
        <w:ind w:left="5760" w:hanging="360"/>
      </w:pPr>
      <w:rPr>
        <w:rFonts w:ascii="Arial" w:hAnsi="Arial" w:hint="default"/>
      </w:rPr>
    </w:lvl>
    <w:lvl w:ilvl="8" w:tplc="5A8CFF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F6057AE"/>
    <w:multiLevelType w:val="hybridMultilevel"/>
    <w:tmpl w:val="EF009974"/>
    <w:lvl w:ilvl="0" w:tplc="8DD24EFC">
      <w:start w:val="1"/>
      <w:numFmt w:val="bullet"/>
      <w:lvlText w:val="•"/>
      <w:lvlJc w:val="left"/>
      <w:pPr>
        <w:tabs>
          <w:tab w:val="num" w:pos="720"/>
        </w:tabs>
        <w:ind w:left="720" w:hanging="360"/>
      </w:pPr>
      <w:rPr>
        <w:rFonts w:ascii="Arial" w:hAnsi="Arial" w:hint="default"/>
      </w:rPr>
    </w:lvl>
    <w:lvl w:ilvl="1" w:tplc="782EE2FE">
      <w:start w:val="84"/>
      <w:numFmt w:val="bullet"/>
      <w:lvlText w:val="•"/>
      <w:lvlJc w:val="left"/>
      <w:pPr>
        <w:tabs>
          <w:tab w:val="num" w:pos="1440"/>
        </w:tabs>
        <w:ind w:left="1440" w:hanging="360"/>
      </w:pPr>
      <w:rPr>
        <w:rFonts w:ascii="Arial" w:hAnsi="Arial" w:hint="default"/>
      </w:rPr>
    </w:lvl>
    <w:lvl w:ilvl="2" w:tplc="EBA00D36">
      <w:start w:val="84"/>
      <w:numFmt w:val="bullet"/>
      <w:lvlText w:val="•"/>
      <w:lvlJc w:val="left"/>
      <w:pPr>
        <w:tabs>
          <w:tab w:val="num" w:pos="2160"/>
        </w:tabs>
        <w:ind w:left="2160" w:hanging="360"/>
      </w:pPr>
      <w:rPr>
        <w:rFonts w:ascii="Arial" w:hAnsi="Arial" w:hint="default"/>
      </w:rPr>
    </w:lvl>
    <w:lvl w:ilvl="3" w:tplc="1158DDC2" w:tentative="1">
      <w:start w:val="1"/>
      <w:numFmt w:val="bullet"/>
      <w:lvlText w:val="•"/>
      <w:lvlJc w:val="left"/>
      <w:pPr>
        <w:tabs>
          <w:tab w:val="num" w:pos="2880"/>
        </w:tabs>
        <w:ind w:left="2880" w:hanging="360"/>
      </w:pPr>
      <w:rPr>
        <w:rFonts w:ascii="Arial" w:hAnsi="Arial" w:hint="default"/>
      </w:rPr>
    </w:lvl>
    <w:lvl w:ilvl="4" w:tplc="E45AEF2A" w:tentative="1">
      <w:start w:val="1"/>
      <w:numFmt w:val="bullet"/>
      <w:lvlText w:val="•"/>
      <w:lvlJc w:val="left"/>
      <w:pPr>
        <w:tabs>
          <w:tab w:val="num" w:pos="3600"/>
        </w:tabs>
        <w:ind w:left="3600" w:hanging="360"/>
      </w:pPr>
      <w:rPr>
        <w:rFonts w:ascii="Arial" w:hAnsi="Arial" w:hint="default"/>
      </w:rPr>
    </w:lvl>
    <w:lvl w:ilvl="5" w:tplc="CEB6A1F2" w:tentative="1">
      <w:start w:val="1"/>
      <w:numFmt w:val="bullet"/>
      <w:lvlText w:val="•"/>
      <w:lvlJc w:val="left"/>
      <w:pPr>
        <w:tabs>
          <w:tab w:val="num" w:pos="4320"/>
        </w:tabs>
        <w:ind w:left="4320" w:hanging="360"/>
      </w:pPr>
      <w:rPr>
        <w:rFonts w:ascii="Arial" w:hAnsi="Arial" w:hint="default"/>
      </w:rPr>
    </w:lvl>
    <w:lvl w:ilvl="6" w:tplc="57720614" w:tentative="1">
      <w:start w:val="1"/>
      <w:numFmt w:val="bullet"/>
      <w:lvlText w:val="•"/>
      <w:lvlJc w:val="left"/>
      <w:pPr>
        <w:tabs>
          <w:tab w:val="num" w:pos="5040"/>
        </w:tabs>
        <w:ind w:left="5040" w:hanging="360"/>
      </w:pPr>
      <w:rPr>
        <w:rFonts w:ascii="Arial" w:hAnsi="Arial" w:hint="default"/>
      </w:rPr>
    </w:lvl>
    <w:lvl w:ilvl="7" w:tplc="7BBC3B1A" w:tentative="1">
      <w:start w:val="1"/>
      <w:numFmt w:val="bullet"/>
      <w:lvlText w:val="•"/>
      <w:lvlJc w:val="left"/>
      <w:pPr>
        <w:tabs>
          <w:tab w:val="num" w:pos="5760"/>
        </w:tabs>
        <w:ind w:left="5760" w:hanging="360"/>
      </w:pPr>
      <w:rPr>
        <w:rFonts w:ascii="Arial" w:hAnsi="Arial" w:hint="default"/>
      </w:rPr>
    </w:lvl>
    <w:lvl w:ilvl="8" w:tplc="AACA7FC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0"/>
  </w:num>
  <w:num w:numId="4">
    <w:abstractNumId w:val="17"/>
  </w:num>
  <w:num w:numId="5">
    <w:abstractNumId w:val="3"/>
  </w:num>
  <w:num w:numId="6">
    <w:abstractNumId w:val="6"/>
  </w:num>
  <w:num w:numId="7">
    <w:abstractNumId w:val="7"/>
  </w:num>
  <w:num w:numId="8">
    <w:abstractNumId w:val="14"/>
  </w:num>
  <w:num w:numId="9">
    <w:abstractNumId w:val="15"/>
  </w:num>
  <w:num w:numId="10">
    <w:abstractNumId w:val="2"/>
  </w:num>
  <w:num w:numId="11">
    <w:abstractNumId w:val="4"/>
  </w:num>
  <w:num w:numId="12">
    <w:abstractNumId w:val="5"/>
  </w:num>
  <w:num w:numId="13">
    <w:abstractNumId w:val="1"/>
  </w:num>
  <w:num w:numId="14">
    <w:abstractNumId w:val="12"/>
  </w:num>
  <w:num w:numId="15">
    <w:abstractNumId w:val="10"/>
  </w:num>
  <w:num w:numId="16">
    <w:abstractNumId w:val="9"/>
  </w:num>
  <w:num w:numId="17">
    <w:abstractNumId w:val="8"/>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bordersDoNotSurroundHeader/>
  <w:bordersDoNotSurroundFooter/>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3A"/>
    <w:rsid w:val="00000890"/>
    <w:rsid w:val="00004062"/>
    <w:rsid w:val="00004451"/>
    <w:rsid w:val="00007356"/>
    <w:rsid w:val="000102BE"/>
    <w:rsid w:val="00010E87"/>
    <w:rsid w:val="00011F4F"/>
    <w:rsid w:val="00014DC2"/>
    <w:rsid w:val="0001544F"/>
    <w:rsid w:val="00017B7F"/>
    <w:rsid w:val="00021987"/>
    <w:rsid w:val="00023C53"/>
    <w:rsid w:val="000246B5"/>
    <w:rsid w:val="000248D6"/>
    <w:rsid w:val="00024D61"/>
    <w:rsid w:val="0003079A"/>
    <w:rsid w:val="00032892"/>
    <w:rsid w:val="0003409E"/>
    <w:rsid w:val="000351CA"/>
    <w:rsid w:val="00036B8E"/>
    <w:rsid w:val="00037AD6"/>
    <w:rsid w:val="00037F94"/>
    <w:rsid w:val="00040080"/>
    <w:rsid w:val="00041781"/>
    <w:rsid w:val="000422DC"/>
    <w:rsid w:val="00044880"/>
    <w:rsid w:val="00046215"/>
    <w:rsid w:val="000468D0"/>
    <w:rsid w:val="0004725B"/>
    <w:rsid w:val="00051B15"/>
    <w:rsid w:val="00052CEB"/>
    <w:rsid w:val="00054C03"/>
    <w:rsid w:val="000578B4"/>
    <w:rsid w:val="00061E06"/>
    <w:rsid w:val="00067AE6"/>
    <w:rsid w:val="00072415"/>
    <w:rsid w:val="00074337"/>
    <w:rsid w:val="00074B34"/>
    <w:rsid w:val="00076108"/>
    <w:rsid w:val="0008014B"/>
    <w:rsid w:val="00081D02"/>
    <w:rsid w:val="00082D57"/>
    <w:rsid w:val="0008444B"/>
    <w:rsid w:val="00086D9E"/>
    <w:rsid w:val="00086FB0"/>
    <w:rsid w:val="000925B4"/>
    <w:rsid w:val="00092739"/>
    <w:rsid w:val="00092AAF"/>
    <w:rsid w:val="0009345E"/>
    <w:rsid w:val="00096503"/>
    <w:rsid w:val="000A0179"/>
    <w:rsid w:val="000A06EA"/>
    <w:rsid w:val="000A0F9E"/>
    <w:rsid w:val="000A2BAE"/>
    <w:rsid w:val="000A50F8"/>
    <w:rsid w:val="000A787E"/>
    <w:rsid w:val="000B0E9F"/>
    <w:rsid w:val="000B67E3"/>
    <w:rsid w:val="000B6C7E"/>
    <w:rsid w:val="000B6CEC"/>
    <w:rsid w:val="000C0248"/>
    <w:rsid w:val="000C2D26"/>
    <w:rsid w:val="000C3FC3"/>
    <w:rsid w:val="000C66C8"/>
    <w:rsid w:val="000D0043"/>
    <w:rsid w:val="000D0114"/>
    <w:rsid w:val="000D45EA"/>
    <w:rsid w:val="000D61B8"/>
    <w:rsid w:val="000D7247"/>
    <w:rsid w:val="000E09C8"/>
    <w:rsid w:val="000E267F"/>
    <w:rsid w:val="000E59A8"/>
    <w:rsid w:val="000E64B8"/>
    <w:rsid w:val="000E7ABE"/>
    <w:rsid w:val="000E7DA0"/>
    <w:rsid w:val="000F1AE9"/>
    <w:rsid w:val="000F2A57"/>
    <w:rsid w:val="000F5D9E"/>
    <w:rsid w:val="000F728E"/>
    <w:rsid w:val="00104938"/>
    <w:rsid w:val="001063AF"/>
    <w:rsid w:val="00106A35"/>
    <w:rsid w:val="00107035"/>
    <w:rsid w:val="00110CD6"/>
    <w:rsid w:val="001130B8"/>
    <w:rsid w:val="00113A5D"/>
    <w:rsid w:val="0011451A"/>
    <w:rsid w:val="00116CE5"/>
    <w:rsid w:val="0011714C"/>
    <w:rsid w:val="0012095A"/>
    <w:rsid w:val="00122187"/>
    <w:rsid w:val="001229CB"/>
    <w:rsid w:val="0012637F"/>
    <w:rsid w:val="001264F4"/>
    <w:rsid w:val="00130ECB"/>
    <w:rsid w:val="0013115E"/>
    <w:rsid w:val="00133865"/>
    <w:rsid w:val="001359EE"/>
    <w:rsid w:val="00137FB4"/>
    <w:rsid w:val="001404E8"/>
    <w:rsid w:val="00140CA3"/>
    <w:rsid w:val="00142F7F"/>
    <w:rsid w:val="00143951"/>
    <w:rsid w:val="001452B6"/>
    <w:rsid w:val="00152B6B"/>
    <w:rsid w:val="00152DCC"/>
    <w:rsid w:val="00154E9D"/>
    <w:rsid w:val="001575F7"/>
    <w:rsid w:val="001634D6"/>
    <w:rsid w:val="00163822"/>
    <w:rsid w:val="00164D22"/>
    <w:rsid w:val="00165012"/>
    <w:rsid w:val="00165923"/>
    <w:rsid w:val="001665F8"/>
    <w:rsid w:val="00167C43"/>
    <w:rsid w:val="0017135F"/>
    <w:rsid w:val="00171A32"/>
    <w:rsid w:val="00171F70"/>
    <w:rsid w:val="00172778"/>
    <w:rsid w:val="00176CCF"/>
    <w:rsid w:val="00177612"/>
    <w:rsid w:val="00177E47"/>
    <w:rsid w:val="00187190"/>
    <w:rsid w:val="00191915"/>
    <w:rsid w:val="00195A11"/>
    <w:rsid w:val="001A0C49"/>
    <w:rsid w:val="001A2CF2"/>
    <w:rsid w:val="001A58A9"/>
    <w:rsid w:val="001A73D3"/>
    <w:rsid w:val="001B08DE"/>
    <w:rsid w:val="001B0972"/>
    <w:rsid w:val="001B1979"/>
    <w:rsid w:val="001B6D65"/>
    <w:rsid w:val="001B7654"/>
    <w:rsid w:val="001C03AC"/>
    <w:rsid w:val="001C1513"/>
    <w:rsid w:val="001C297B"/>
    <w:rsid w:val="001C371B"/>
    <w:rsid w:val="001D254B"/>
    <w:rsid w:val="001D38C9"/>
    <w:rsid w:val="001D4472"/>
    <w:rsid w:val="001D7A7F"/>
    <w:rsid w:val="001E1D3C"/>
    <w:rsid w:val="001E2741"/>
    <w:rsid w:val="001E2CE9"/>
    <w:rsid w:val="001E3B69"/>
    <w:rsid w:val="001E3DFF"/>
    <w:rsid w:val="001E46C7"/>
    <w:rsid w:val="001E5135"/>
    <w:rsid w:val="001F0CE4"/>
    <w:rsid w:val="001F56D4"/>
    <w:rsid w:val="001F6988"/>
    <w:rsid w:val="001F75F9"/>
    <w:rsid w:val="002026C4"/>
    <w:rsid w:val="00204A95"/>
    <w:rsid w:val="002063EB"/>
    <w:rsid w:val="0020741F"/>
    <w:rsid w:val="002102FA"/>
    <w:rsid w:val="00215E86"/>
    <w:rsid w:val="00220130"/>
    <w:rsid w:val="00221700"/>
    <w:rsid w:val="0022262A"/>
    <w:rsid w:val="00231192"/>
    <w:rsid w:val="00231668"/>
    <w:rsid w:val="00231EA5"/>
    <w:rsid w:val="00234B08"/>
    <w:rsid w:val="002353A9"/>
    <w:rsid w:val="0023557E"/>
    <w:rsid w:val="00235B6F"/>
    <w:rsid w:val="00235F07"/>
    <w:rsid w:val="00236DF9"/>
    <w:rsid w:val="0024633E"/>
    <w:rsid w:val="00246DC8"/>
    <w:rsid w:val="00247E61"/>
    <w:rsid w:val="002501DF"/>
    <w:rsid w:val="0025101A"/>
    <w:rsid w:val="00251D60"/>
    <w:rsid w:val="00253B02"/>
    <w:rsid w:val="00254DDA"/>
    <w:rsid w:val="00256046"/>
    <w:rsid w:val="00260552"/>
    <w:rsid w:val="00261012"/>
    <w:rsid w:val="00261C50"/>
    <w:rsid w:val="00266330"/>
    <w:rsid w:val="00266AA1"/>
    <w:rsid w:val="00275291"/>
    <w:rsid w:val="002805CF"/>
    <w:rsid w:val="002810AA"/>
    <w:rsid w:val="00283AEC"/>
    <w:rsid w:val="00286630"/>
    <w:rsid w:val="00286819"/>
    <w:rsid w:val="00286B5C"/>
    <w:rsid w:val="002871D3"/>
    <w:rsid w:val="002A329C"/>
    <w:rsid w:val="002B042D"/>
    <w:rsid w:val="002B25C8"/>
    <w:rsid w:val="002B29BD"/>
    <w:rsid w:val="002B46AF"/>
    <w:rsid w:val="002B7139"/>
    <w:rsid w:val="002B7852"/>
    <w:rsid w:val="002C178A"/>
    <w:rsid w:val="002D1614"/>
    <w:rsid w:val="002D2864"/>
    <w:rsid w:val="002D35CA"/>
    <w:rsid w:val="002D5624"/>
    <w:rsid w:val="002D6C70"/>
    <w:rsid w:val="002D7C09"/>
    <w:rsid w:val="002E09EE"/>
    <w:rsid w:val="002E1DDA"/>
    <w:rsid w:val="002E4E7A"/>
    <w:rsid w:val="002E5A3C"/>
    <w:rsid w:val="002F096F"/>
    <w:rsid w:val="002F74C6"/>
    <w:rsid w:val="00302378"/>
    <w:rsid w:val="003038E4"/>
    <w:rsid w:val="00304C33"/>
    <w:rsid w:val="00304D28"/>
    <w:rsid w:val="00304ED6"/>
    <w:rsid w:val="00306E68"/>
    <w:rsid w:val="0030711B"/>
    <w:rsid w:val="00307678"/>
    <w:rsid w:val="0030786D"/>
    <w:rsid w:val="003102D4"/>
    <w:rsid w:val="00310903"/>
    <w:rsid w:val="00311329"/>
    <w:rsid w:val="003126B9"/>
    <w:rsid w:val="00315EF5"/>
    <w:rsid w:val="0032566E"/>
    <w:rsid w:val="00326297"/>
    <w:rsid w:val="00327680"/>
    <w:rsid w:val="00332FAF"/>
    <w:rsid w:val="0033557D"/>
    <w:rsid w:val="003357DB"/>
    <w:rsid w:val="00337C8E"/>
    <w:rsid w:val="0034560F"/>
    <w:rsid w:val="003458F9"/>
    <w:rsid w:val="0034684A"/>
    <w:rsid w:val="00362A55"/>
    <w:rsid w:val="00363B09"/>
    <w:rsid w:val="00363DB3"/>
    <w:rsid w:val="0036695C"/>
    <w:rsid w:val="00374285"/>
    <w:rsid w:val="00377F46"/>
    <w:rsid w:val="0038313B"/>
    <w:rsid w:val="003839EB"/>
    <w:rsid w:val="00384695"/>
    <w:rsid w:val="003875C3"/>
    <w:rsid w:val="0039217C"/>
    <w:rsid w:val="003939C1"/>
    <w:rsid w:val="00395D9D"/>
    <w:rsid w:val="00395E85"/>
    <w:rsid w:val="0039799C"/>
    <w:rsid w:val="00397C7D"/>
    <w:rsid w:val="003A141E"/>
    <w:rsid w:val="003A25CD"/>
    <w:rsid w:val="003A4C45"/>
    <w:rsid w:val="003A54B0"/>
    <w:rsid w:val="003A5DAC"/>
    <w:rsid w:val="003A7B44"/>
    <w:rsid w:val="003A7B6D"/>
    <w:rsid w:val="003B780E"/>
    <w:rsid w:val="003C2E86"/>
    <w:rsid w:val="003C4415"/>
    <w:rsid w:val="003C5633"/>
    <w:rsid w:val="003C68A0"/>
    <w:rsid w:val="003C75E4"/>
    <w:rsid w:val="003C78F6"/>
    <w:rsid w:val="003D489E"/>
    <w:rsid w:val="003E2B5E"/>
    <w:rsid w:val="003E4BB4"/>
    <w:rsid w:val="003E4D5F"/>
    <w:rsid w:val="003E5898"/>
    <w:rsid w:val="003E67C6"/>
    <w:rsid w:val="003F17A9"/>
    <w:rsid w:val="003F17CB"/>
    <w:rsid w:val="003F1A74"/>
    <w:rsid w:val="003F32EA"/>
    <w:rsid w:val="003F5E59"/>
    <w:rsid w:val="003F62F7"/>
    <w:rsid w:val="0040060A"/>
    <w:rsid w:val="00403F52"/>
    <w:rsid w:val="00404ED0"/>
    <w:rsid w:val="004050FA"/>
    <w:rsid w:val="00406ACF"/>
    <w:rsid w:val="0041220E"/>
    <w:rsid w:val="004148AB"/>
    <w:rsid w:val="00414D37"/>
    <w:rsid w:val="00415093"/>
    <w:rsid w:val="00415198"/>
    <w:rsid w:val="00416479"/>
    <w:rsid w:val="0041777A"/>
    <w:rsid w:val="004178A3"/>
    <w:rsid w:val="00417E2B"/>
    <w:rsid w:val="004221C5"/>
    <w:rsid w:val="00422A6E"/>
    <w:rsid w:val="00423539"/>
    <w:rsid w:val="0042358B"/>
    <w:rsid w:val="00423648"/>
    <w:rsid w:val="0042399E"/>
    <w:rsid w:val="00423AC7"/>
    <w:rsid w:val="00424D4D"/>
    <w:rsid w:val="00424DAD"/>
    <w:rsid w:val="0042709E"/>
    <w:rsid w:val="00432200"/>
    <w:rsid w:val="004324B5"/>
    <w:rsid w:val="00434D0C"/>
    <w:rsid w:val="0043774D"/>
    <w:rsid w:val="00437895"/>
    <w:rsid w:val="0044368D"/>
    <w:rsid w:val="00444504"/>
    <w:rsid w:val="00444EB3"/>
    <w:rsid w:val="00451639"/>
    <w:rsid w:val="004607EC"/>
    <w:rsid w:val="00461F71"/>
    <w:rsid w:val="00465EC1"/>
    <w:rsid w:val="004661D5"/>
    <w:rsid w:val="004675D2"/>
    <w:rsid w:val="0047037A"/>
    <w:rsid w:val="004737E0"/>
    <w:rsid w:val="004754FB"/>
    <w:rsid w:val="00481EF8"/>
    <w:rsid w:val="004845E0"/>
    <w:rsid w:val="004846D6"/>
    <w:rsid w:val="00484ABF"/>
    <w:rsid w:val="00487F11"/>
    <w:rsid w:val="00494513"/>
    <w:rsid w:val="00495BA6"/>
    <w:rsid w:val="00495C84"/>
    <w:rsid w:val="00496F3A"/>
    <w:rsid w:val="004A01A2"/>
    <w:rsid w:val="004A1EDF"/>
    <w:rsid w:val="004A27DA"/>
    <w:rsid w:val="004A57F6"/>
    <w:rsid w:val="004A7F3D"/>
    <w:rsid w:val="004B056D"/>
    <w:rsid w:val="004B5ACB"/>
    <w:rsid w:val="004C6D25"/>
    <w:rsid w:val="004C71A2"/>
    <w:rsid w:val="004D003C"/>
    <w:rsid w:val="004D21C5"/>
    <w:rsid w:val="004D2C82"/>
    <w:rsid w:val="004D578B"/>
    <w:rsid w:val="004D6D08"/>
    <w:rsid w:val="004E1B87"/>
    <w:rsid w:val="004E236D"/>
    <w:rsid w:val="004F0E1D"/>
    <w:rsid w:val="004F1A05"/>
    <w:rsid w:val="004F2E9A"/>
    <w:rsid w:val="004F2F90"/>
    <w:rsid w:val="004F50E5"/>
    <w:rsid w:val="005002A3"/>
    <w:rsid w:val="005006D8"/>
    <w:rsid w:val="005007AD"/>
    <w:rsid w:val="00501E2A"/>
    <w:rsid w:val="00503ECD"/>
    <w:rsid w:val="0050669F"/>
    <w:rsid w:val="00507931"/>
    <w:rsid w:val="00507C27"/>
    <w:rsid w:val="00507D0B"/>
    <w:rsid w:val="00511300"/>
    <w:rsid w:val="00512A45"/>
    <w:rsid w:val="00512ABA"/>
    <w:rsid w:val="00512B13"/>
    <w:rsid w:val="005134FC"/>
    <w:rsid w:val="0052194B"/>
    <w:rsid w:val="00522B42"/>
    <w:rsid w:val="005247FD"/>
    <w:rsid w:val="005255CA"/>
    <w:rsid w:val="005255D7"/>
    <w:rsid w:val="00526925"/>
    <w:rsid w:val="005326A1"/>
    <w:rsid w:val="00533DD9"/>
    <w:rsid w:val="00533EDC"/>
    <w:rsid w:val="00534063"/>
    <w:rsid w:val="00534A25"/>
    <w:rsid w:val="00535019"/>
    <w:rsid w:val="00537FEB"/>
    <w:rsid w:val="0054007C"/>
    <w:rsid w:val="0054059A"/>
    <w:rsid w:val="00545015"/>
    <w:rsid w:val="005459C1"/>
    <w:rsid w:val="00546B11"/>
    <w:rsid w:val="005479D3"/>
    <w:rsid w:val="005502BD"/>
    <w:rsid w:val="00551482"/>
    <w:rsid w:val="0055186E"/>
    <w:rsid w:val="00551AC5"/>
    <w:rsid w:val="005525D8"/>
    <w:rsid w:val="00553634"/>
    <w:rsid w:val="005542D0"/>
    <w:rsid w:val="005620EC"/>
    <w:rsid w:val="00563610"/>
    <w:rsid w:val="0056478C"/>
    <w:rsid w:val="0056531C"/>
    <w:rsid w:val="00567756"/>
    <w:rsid w:val="00571F8F"/>
    <w:rsid w:val="00572576"/>
    <w:rsid w:val="0057481B"/>
    <w:rsid w:val="005753CE"/>
    <w:rsid w:val="00575DB3"/>
    <w:rsid w:val="005775A8"/>
    <w:rsid w:val="005825D3"/>
    <w:rsid w:val="005842F6"/>
    <w:rsid w:val="00584DE0"/>
    <w:rsid w:val="00584EC3"/>
    <w:rsid w:val="00586CDC"/>
    <w:rsid w:val="00587863"/>
    <w:rsid w:val="0059095F"/>
    <w:rsid w:val="00591E87"/>
    <w:rsid w:val="00593651"/>
    <w:rsid w:val="0059480A"/>
    <w:rsid w:val="005958CF"/>
    <w:rsid w:val="005A0F98"/>
    <w:rsid w:val="005A2686"/>
    <w:rsid w:val="005A49F6"/>
    <w:rsid w:val="005A68A4"/>
    <w:rsid w:val="005B0409"/>
    <w:rsid w:val="005B2555"/>
    <w:rsid w:val="005B4ACD"/>
    <w:rsid w:val="005B4C2D"/>
    <w:rsid w:val="005B526C"/>
    <w:rsid w:val="005B5927"/>
    <w:rsid w:val="005B5F4E"/>
    <w:rsid w:val="005B6048"/>
    <w:rsid w:val="005B6FDE"/>
    <w:rsid w:val="005B76CF"/>
    <w:rsid w:val="005C3377"/>
    <w:rsid w:val="005C4381"/>
    <w:rsid w:val="005C4634"/>
    <w:rsid w:val="005C55EF"/>
    <w:rsid w:val="005C6924"/>
    <w:rsid w:val="005D317B"/>
    <w:rsid w:val="005D59DA"/>
    <w:rsid w:val="005D747A"/>
    <w:rsid w:val="005E0894"/>
    <w:rsid w:val="005E4984"/>
    <w:rsid w:val="005E4AC0"/>
    <w:rsid w:val="005E4B2F"/>
    <w:rsid w:val="005E5943"/>
    <w:rsid w:val="005E750D"/>
    <w:rsid w:val="005E79AB"/>
    <w:rsid w:val="005F0CEB"/>
    <w:rsid w:val="005F7F39"/>
    <w:rsid w:val="0060009C"/>
    <w:rsid w:val="00600D2C"/>
    <w:rsid w:val="00600E3C"/>
    <w:rsid w:val="00607475"/>
    <w:rsid w:val="00607D15"/>
    <w:rsid w:val="00610B22"/>
    <w:rsid w:val="00611C91"/>
    <w:rsid w:val="00614FA3"/>
    <w:rsid w:val="00616F8D"/>
    <w:rsid w:val="00620AB5"/>
    <w:rsid w:val="00622F9B"/>
    <w:rsid w:val="006252FF"/>
    <w:rsid w:val="00632877"/>
    <w:rsid w:val="00633B07"/>
    <w:rsid w:val="00641004"/>
    <w:rsid w:val="006413FF"/>
    <w:rsid w:val="00645253"/>
    <w:rsid w:val="006469EE"/>
    <w:rsid w:val="0064707F"/>
    <w:rsid w:val="00647BF1"/>
    <w:rsid w:val="006501FB"/>
    <w:rsid w:val="006510CD"/>
    <w:rsid w:val="006521DA"/>
    <w:rsid w:val="006549B9"/>
    <w:rsid w:val="00656133"/>
    <w:rsid w:val="006575D5"/>
    <w:rsid w:val="0066120D"/>
    <w:rsid w:val="006633B6"/>
    <w:rsid w:val="00665A4D"/>
    <w:rsid w:val="00674405"/>
    <w:rsid w:val="006763D6"/>
    <w:rsid w:val="00677C6C"/>
    <w:rsid w:val="00680416"/>
    <w:rsid w:val="00682A76"/>
    <w:rsid w:val="00687EE4"/>
    <w:rsid w:val="00691EBA"/>
    <w:rsid w:val="00692436"/>
    <w:rsid w:val="0069382A"/>
    <w:rsid w:val="00696DFB"/>
    <w:rsid w:val="006A14A5"/>
    <w:rsid w:val="006A205D"/>
    <w:rsid w:val="006A4DD4"/>
    <w:rsid w:val="006A52C8"/>
    <w:rsid w:val="006A66BC"/>
    <w:rsid w:val="006A7C69"/>
    <w:rsid w:val="006B164C"/>
    <w:rsid w:val="006B2A88"/>
    <w:rsid w:val="006B3CAC"/>
    <w:rsid w:val="006B7308"/>
    <w:rsid w:val="006B76ED"/>
    <w:rsid w:val="006B779C"/>
    <w:rsid w:val="006C0AF4"/>
    <w:rsid w:val="006C33EF"/>
    <w:rsid w:val="006C3508"/>
    <w:rsid w:val="006C426D"/>
    <w:rsid w:val="006C4D42"/>
    <w:rsid w:val="006C62AB"/>
    <w:rsid w:val="006D033D"/>
    <w:rsid w:val="006D0CA1"/>
    <w:rsid w:val="006D1337"/>
    <w:rsid w:val="006D1978"/>
    <w:rsid w:val="006D4A71"/>
    <w:rsid w:val="006D4C7C"/>
    <w:rsid w:val="006E25FF"/>
    <w:rsid w:val="006E4983"/>
    <w:rsid w:val="006E4B19"/>
    <w:rsid w:val="006E53FD"/>
    <w:rsid w:val="006E6CC6"/>
    <w:rsid w:val="006E6F49"/>
    <w:rsid w:val="006E726B"/>
    <w:rsid w:val="006F1418"/>
    <w:rsid w:val="006F6915"/>
    <w:rsid w:val="006F7E6A"/>
    <w:rsid w:val="007008CF"/>
    <w:rsid w:val="007010B8"/>
    <w:rsid w:val="00702A84"/>
    <w:rsid w:val="00703A8E"/>
    <w:rsid w:val="007042BE"/>
    <w:rsid w:val="0070778E"/>
    <w:rsid w:val="00710B85"/>
    <w:rsid w:val="007137C7"/>
    <w:rsid w:val="0071424E"/>
    <w:rsid w:val="007148F5"/>
    <w:rsid w:val="00714AA6"/>
    <w:rsid w:val="007164F5"/>
    <w:rsid w:val="007174A7"/>
    <w:rsid w:val="00721048"/>
    <w:rsid w:val="00722BCC"/>
    <w:rsid w:val="007241DB"/>
    <w:rsid w:val="00725A9D"/>
    <w:rsid w:val="007266E5"/>
    <w:rsid w:val="007307AA"/>
    <w:rsid w:val="00731CD9"/>
    <w:rsid w:val="0073293D"/>
    <w:rsid w:val="00733719"/>
    <w:rsid w:val="00735207"/>
    <w:rsid w:val="00736CB8"/>
    <w:rsid w:val="00740025"/>
    <w:rsid w:val="00743A6D"/>
    <w:rsid w:val="00746DCE"/>
    <w:rsid w:val="00747343"/>
    <w:rsid w:val="007509E6"/>
    <w:rsid w:val="00751672"/>
    <w:rsid w:val="00752C78"/>
    <w:rsid w:val="00753F41"/>
    <w:rsid w:val="00754017"/>
    <w:rsid w:val="00754408"/>
    <w:rsid w:val="00755E0D"/>
    <w:rsid w:val="00761466"/>
    <w:rsid w:val="0076242F"/>
    <w:rsid w:val="00763476"/>
    <w:rsid w:val="007700CE"/>
    <w:rsid w:val="00771E26"/>
    <w:rsid w:val="007728B1"/>
    <w:rsid w:val="00772C9E"/>
    <w:rsid w:val="00772F24"/>
    <w:rsid w:val="00773D4E"/>
    <w:rsid w:val="00775308"/>
    <w:rsid w:val="007779B7"/>
    <w:rsid w:val="00781B1B"/>
    <w:rsid w:val="00782E90"/>
    <w:rsid w:val="00785732"/>
    <w:rsid w:val="00785D2A"/>
    <w:rsid w:val="00785E82"/>
    <w:rsid w:val="0078789A"/>
    <w:rsid w:val="00791D28"/>
    <w:rsid w:val="00793A9D"/>
    <w:rsid w:val="007945D4"/>
    <w:rsid w:val="007A1B37"/>
    <w:rsid w:val="007A32FF"/>
    <w:rsid w:val="007A7AD2"/>
    <w:rsid w:val="007B027C"/>
    <w:rsid w:val="007B03EC"/>
    <w:rsid w:val="007B6367"/>
    <w:rsid w:val="007C0799"/>
    <w:rsid w:val="007C20F0"/>
    <w:rsid w:val="007C2266"/>
    <w:rsid w:val="007C2D61"/>
    <w:rsid w:val="007C2F2B"/>
    <w:rsid w:val="007C2F39"/>
    <w:rsid w:val="007C5A6F"/>
    <w:rsid w:val="007C7675"/>
    <w:rsid w:val="007D0B67"/>
    <w:rsid w:val="007D27B7"/>
    <w:rsid w:val="007D289E"/>
    <w:rsid w:val="007D4332"/>
    <w:rsid w:val="007D536B"/>
    <w:rsid w:val="007E594E"/>
    <w:rsid w:val="007E7338"/>
    <w:rsid w:val="007F0F93"/>
    <w:rsid w:val="007F40AC"/>
    <w:rsid w:val="008025F1"/>
    <w:rsid w:val="008037BD"/>
    <w:rsid w:val="0080574A"/>
    <w:rsid w:val="00805BAE"/>
    <w:rsid w:val="0080608F"/>
    <w:rsid w:val="00810B86"/>
    <w:rsid w:val="00816452"/>
    <w:rsid w:val="00816E0C"/>
    <w:rsid w:val="00820B98"/>
    <w:rsid w:val="0082262F"/>
    <w:rsid w:val="008231DA"/>
    <w:rsid w:val="00823E5D"/>
    <w:rsid w:val="008247F8"/>
    <w:rsid w:val="0082611B"/>
    <w:rsid w:val="00826E08"/>
    <w:rsid w:val="008277D0"/>
    <w:rsid w:val="0083061B"/>
    <w:rsid w:val="00830642"/>
    <w:rsid w:val="00831B9C"/>
    <w:rsid w:val="00834112"/>
    <w:rsid w:val="008364BE"/>
    <w:rsid w:val="00836900"/>
    <w:rsid w:val="00836F2A"/>
    <w:rsid w:val="0083749D"/>
    <w:rsid w:val="00843EEE"/>
    <w:rsid w:val="00846215"/>
    <w:rsid w:val="0084665B"/>
    <w:rsid w:val="00852B87"/>
    <w:rsid w:val="00852D2A"/>
    <w:rsid w:val="0085394F"/>
    <w:rsid w:val="00853EDE"/>
    <w:rsid w:val="00854873"/>
    <w:rsid w:val="00857AED"/>
    <w:rsid w:val="00857BDD"/>
    <w:rsid w:val="008639CF"/>
    <w:rsid w:val="0086445F"/>
    <w:rsid w:val="00867E26"/>
    <w:rsid w:val="008711BB"/>
    <w:rsid w:val="00872A5C"/>
    <w:rsid w:val="00872CD3"/>
    <w:rsid w:val="008732FD"/>
    <w:rsid w:val="00873F9E"/>
    <w:rsid w:val="008746FF"/>
    <w:rsid w:val="0087634C"/>
    <w:rsid w:val="00876F4D"/>
    <w:rsid w:val="00877E7A"/>
    <w:rsid w:val="00883C82"/>
    <w:rsid w:val="0088598A"/>
    <w:rsid w:val="008908C5"/>
    <w:rsid w:val="00890FCE"/>
    <w:rsid w:val="008937E3"/>
    <w:rsid w:val="00895394"/>
    <w:rsid w:val="00896F14"/>
    <w:rsid w:val="00897D34"/>
    <w:rsid w:val="00897EF7"/>
    <w:rsid w:val="008A02E1"/>
    <w:rsid w:val="008A07AD"/>
    <w:rsid w:val="008A2644"/>
    <w:rsid w:val="008A6783"/>
    <w:rsid w:val="008B1DAA"/>
    <w:rsid w:val="008B2816"/>
    <w:rsid w:val="008B2DE2"/>
    <w:rsid w:val="008B2E96"/>
    <w:rsid w:val="008B423F"/>
    <w:rsid w:val="008B6826"/>
    <w:rsid w:val="008B7D04"/>
    <w:rsid w:val="008C2847"/>
    <w:rsid w:val="008C2A2F"/>
    <w:rsid w:val="008C2B23"/>
    <w:rsid w:val="008C3EDF"/>
    <w:rsid w:val="008D34A2"/>
    <w:rsid w:val="008D7831"/>
    <w:rsid w:val="008E30E2"/>
    <w:rsid w:val="008E3D2C"/>
    <w:rsid w:val="008E504F"/>
    <w:rsid w:val="008E57A9"/>
    <w:rsid w:val="008E6D70"/>
    <w:rsid w:val="008E7D07"/>
    <w:rsid w:val="008F0359"/>
    <w:rsid w:val="008F13A7"/>
    <w:rsid w:val="008F1D1A"/>
    <w:rsid w:val="008F3F0E"/>
    <w:rsid w:val="008F46B2"/>
    <w:rsid w:val="008F4FCE"/>
    <w:rsid w:val="00902410"/>
    <w:rsid w:val="00902E42"/>
    <w:rsid w:val="009033F5"/>
    <w:rsid w:val="00903D0E"/>
    <w:rsid w:val="00904BD9"/>
    <w:rsid w:val="009105EF"/>
    <w:rsid w:val="009113A2"/>
    <w:rsid w:val="0091373D"/>
    <w:rsid w:val="00922239"/>
    <w:rsid w:val="00922639"/>
    <w:rsid w:val="00922836"/>
    <w:rsid w:val="00924914"/>
    <w:rsid w:val="00924BB5"/>
    <w:rsid w:val="00925F0E"/>
    <w:rsid w:val="009270F3"/>
    <w:rsid w:val="00927E46"/>
    <w:rsid w:val="009306F5"/>
    <w:rsid w:val="00930FBA"/>
    <w:rsid w:val="00931DBF"/>
    <w:rsid w:val="0093496F"/>
    <w:rsid w:val="00935768"/>
    <w:rsid w:val="00936B07"/>
    <w:rsid w:val="00937155"/>
    <w:rsid w:val="00937DCA"/>
    <w:rsid w:val="00940A2E"/>
    <w:rsid w:val="0094176D"/>
    <w:rsid w:val="00941E1B"/>
    <w:rsid w:val="00942368"/>
    <w:rsid w:val="009428E8"/>
    <w:rsid w:val="0094500F"/>
    <w:rsid w:val="00951312"/>
    <w:rsid w:val="00954240"/>
    <w:rsid w:val="00954B26"/>
    <w:rsid w:val="009552EC"/>
    <w:rsid w:val="00956E25"/>
    <w:rsid w:val="00957086"/>
    <w:rsid w:val="00957E4F"/>
    <w:rsid w:val="00957F1B"/>
    <w:rsid w:val="009600E9"/>
    <w:rsid w:val="00963922"/>
    <w:rsid w:val="00964199"/>
    <w:rsid w:val="00964EA1"/>
    <w:rsid w:val="009653B8"/>
    <w:rsid w:val="00967F19"/>
    <w:rsid w:val="00971E26"/>
    <w:rsid w:val="00974761"/>
    <w:rsid w:val="009754AC"/>
    <w:rsid w:val="009755A4"/>
    <w:rsid w:val="00975BAA"/>
    <w:rsid w:val="009817D2"/>
    <w:rsid w:val="00982A28"/>
    <w:rsid w:val="0098310E"/>
    <w:rsid w:val="009831A2"/>
    <w:rsid w:val="00983B99"/>
    <w:rsid w:val="00987431"/>
    <w:rsid w:val="009875A2"/>
    <w:rsid w:val="009900E9"/>
    <w:rsid w:val="0099012E"/>
    <w:rsid w:val="0099052D"/>
    <w:rsid w:val="00990905"/>
    <w:rsid w:val="00993635"/>
    <w:rsid w:val="00994AEB"/>
    <w:rsid w:val="00994F82"/>
    <w:rsid w:val="009A07BF"/>
    <w:rsid w:val="009A0DE2"/>
    <w:rsid w:val="009A17F1"/>
    <w:rsid w:val="009A1C07"/>
    <w:rsid w:val="009A1E55"/>
    <w:rsid w:val="009A555C"/>
    <w:rsid w:val="009A72A5"/>
    <w:rsid w:val="009A7914"/>
    <w:rsid w:val="009B0752"/>
    <w:rsid w:val="009B1B17"/>
    <w:rsid w:val="009B26DF"/>
    <w:rsid w:val="009B3003"/>
    <w:rsid w:val="009B448D"/>
    <w:rsid w:val="009B5801"/>
    <w:rsid w:val="009C0332"/>
    <w:rsid w:val="009C0B48"/>
    <w:rsid w:val="009C1693"/>
    <w:rsid w:val="009C17E4"/>
    <w:rsid w:val="009C3986"/>
    <w:rsid w:val="009C71F7"/>
    <w:rsid w:val="009D226C"/>
    <w:rsid w:val="009D3FAF"/>
    <w:rsid w:val="009E073A"/>
    <w:rsid w:val="009E13D2"/>
    <w:rsid w:val="009E171D"/>
    <w:rsid w:val="009E321D"/>
    <w:rsid w:val="009E525A"/>
    <w:rsid w:val="009E5664"/>
    <w:rsid w:val="009E6D1A"/>
    <w:rsid w:val="009F0911"/>
    <w:rsid w:val="009F1629"/>
    <w:rsid w:val="009F1B02"/>
    <w:rsid w:val="009F1F6C"/>
    <w:rsid w:val="009F3533"/>
    <w:rsid w:val="009F41F1"/>
    <w:rsid w:val="009F4D37"/>
    <w:rsid w:val="009F5F63"/>
    <w:rsid w:val="009F6517"/>
    <w:rsid w:val="009F6805"/>
    <w:rsid w:val="009F7412"/>
    <w:rsid w:val="009F7B05"/>
    <w:rsid w:val="00A016C6"/>
    <w:rsid w:val="00A0565D"/>
    <w:rsid w:val="00A06A55"/>
    <w:rsid w:val="00A105D1"/>
    <w:rsid w:val="00A14C03"/>
    <w:rsid w:val="00A205D9"/>
    <w:rsid w:val="00A230B8"/>
    <w:rsid w:val="00A24740"/>
    <w:rsid w:val="00A2631F"/>
    <w:rsid w:val="00A26985"/>
    <w:rsid w:val="00A27BDF"/>
    <w:rsid w:val="00A30C6F"/>
    <w:rsid w:val="00A31A40"/>
    <w:rsid w:val="00A320F8"/>
    <w:rsid w:val="00A4390A"/>
    <w:rsid w:val="00A45E59"/>
    <w:rsid w:val="00A4677F"/>
    <w:rsid w:val="00A51E32"/>
    <w:rsid w:val="00A54661"/>
    <w:rsid w:val="00A54BFD"/>
    <w:rsid w:val="00A57EC6"/>
    <w:rsid w:val="00A60F64"/>
    <w:rsid w:val="00A629C8"/>
    <w:rsid w:val="00A63DC2"/>
    <w:rsid w:val="00A656AB"/>
    <w:rsid w:val="00A7006C"/>
    <w:rsid w:val="00A70335"/>
    <w:rsid w:val="00A724E2"/>
    <w:rsid w:val="00A7425A"/>
    <w:rsid w:val="00A762D5"/>
    <w:rsid w:val="00A77966"/>
    <w:rsid w:val="00A8082D"/>
    <w:rsid w:val="00A83E08"/>
    <w:rsid w:val="00A862D0"/>
    <w:rsid w:val="00A91FB0"/>
    <w:rsid w:val="00A93119"/>
    <w:rsid w:val="00A93420"/>
    <w:rsid w:val="00A939D0"/>
    <w:rsid w:val="00A94BA2"/>
    <w:rsid w:val="00A95FF6"/>
    <w:rsid w:val="00A979EA"/>
    <w:rsid w:val="00AA0DC2"/>
    <w:rsid w:val="00AA1262"/>
    <w:rsid w:val="00AA1B97"/>
    <w:rsid w:val="00AA27DF"/>
    <w:rsid w:val="00AA615A"/>
    <w:rsid w:val="00AB094F"/>
    <w:rsid w:val="00AB0E2A"/>
    <w:rsid w:val="00AB10A3"/>
    <w:rsid w:val="00AB44A3"/>
    <w:rsid w:val="00AB45FE"/>
    <w:rsid w:val="00AB48F7"/>
    <w:rsid w:val="00AC3B88"/>
    <w:rsid w:val="00AC494E"/>
    <w:rsid w:val="00AC4CC0"/>
    <w:rsid w:val="00AC65EA"/>
    <w:rsid w:val="00AC67C0"/>
    <w:rsid w:val="00AC6825"/>
    <w:rsid w:val="00AD249B"/>
    <w:rsid w:val="00AD32CF"/>
    <w:rsid w:val="00AD7C55"/>
    <w:rsid w:val="00AE0D3F"/>
    <w:rsid w:val="00AE2BFE"/>
    <w:rsid w:val="00AE6DC9"/>
    <w:rsid w:val="00AE7ACF"/>
    <w:rsid w:val="00AF363C"/>
    <w:rsid w:val="00AF42B9"/>
    <w:rsid w:val="00B02547"/>
    <w:rsid w:val="00B033DF"/>
    <w:rsid w:val="00B04D5F"/>
    <w:rsid w:val="00B05363"/>
    <w:rsid w:val="00B053F9"/>
    <w:rsid w:val="00B056D0"/>
    <w:rsid w:val="00B078B1"/>
    <w:rsid w:val="00B11C33"/>
    <w:rsid w:val="00B11D03"/>
    <w:rsid w:val="00B11FD2"/>
    <w:rsid w:val="00B12C33"/>
    <w:rsid w:val="00B14285"/>
    <w:rsid w:val="00B15215"/>
    <w:rsid w:val="00B15B71"/>
    <w:rsid w:val="00B16FF9"/>
    <w:rsid w:val="00B17603"/>
    <w:rsid w:val="00B213E9"/>
    <w:rsid w:val="00B22669"/>
    <w:rsid w:val="00B23B78"/>
    <w:rsid w:val="00B23B7C"/>
    <w:rsid w:val="00B24CCE"/>
    <w:rsid w:val="00B259D0"/>
    <w:rsid w:val="00B2606D"/>
    <w:rsid w:val="00B277E6"/>
    <w:rsid w:val="00B34034"/>
    <w:rsid w:val="00B3561B"/>
    <w:rsid w:val="00B35854"/>
    <w:rsid w:val="00B363FC"/>
    <w:rsid w:val="00B371C4"/>
    <w:rsid w:val="00B37A59"/>
    <w:rsid w:val="00B419AC"/>
    <w:rsid w:val="00B41BD4"/>
    <w:rsid w:val="00B41C21"/>
    <w:rsid w:val="00B42FF5"/>
    <w:rsid w:val="00B436E4"/>
    <w:rsid w:val="00B43B9F"/>
    <w:rsid w:val="00B44CD7"/>
    <w:rsid w:val="00B45735"/>
    <w:rsid w:val="00B47B78"/>
    <w:rsid w:val="00B56876"/>
    <w:rsid w:val="00B56B40"/>
    <w:rsid w:val="00B616D1"/>
    <w:rsid w:val="00B63356"/>
    <w:rsid w:val="00B639DB"/>
    <w:rsid w:val="00B66403"/>
    <w:rsid w:val="00B6685C"/>
    <w:rsid w:val="00B71CAF"/>
    <w:rsid w:val="00B71DB4"/>
    <w:rsid w:val="00B7250C"/>
    <w:rsid w:val="00B73AAD"/>
    <w:rsid w:val="00B76004"/>
    <w:rsid w:val="00B76BB8"/>
    <w:rsid w:val="00B835B2"/>
    <w:rsid w:val="00B84407"/>
    <w:rsid w:val="00B84E91"/>
    <w:rsid w:val="00B9069D"/>
    <w:rsid w:val="00B95ECE"/>
    <w:rsid w:val="00B96992"/>
    <w:rsid w:val="00BA287E"/>
    <w:rsid w:val="00BA3012"/>
    <w:rsid w:val="00BA4621"/>
    <w:rsid w:val="00BA66D1"/>
    <w:rsid w:val="00BB2A12"/>
    <w:rsid w:val="00BB3209"/>
    <w:rsid w:val="00BB3FEB"/>
    <w:rsid w:val="00BB57F3"/>
    <w:rsid w:val="00BB5946"/>
    <w:rsid w:val="00BB6C9C"/>
    <w:rsid w:val="00BC2E15"/>
    <w:rsid w:val="00BC3765"/>
    <w:rsid w:val="00BC7A4A"/>
    <w:rsid w:val="00BD0097"/>
    <w:rsid w:val="00BD0FB1"/>
    <w:rsid w:val="00BD2359"/>
    <w:rsid w:val="00BD4239"/>
    <w:rsid w:val="00BD7B97"/>
    <w:rsid w:val="00BE067A"/>
    <w:rsid w:val="00BE1C70"/>
    <w:rsid w:val="00BE27E0"/>
    <w:rsid w:val="00BE4E81"/>
    <w:rsid w:val="00BE589C"/>
    <w:rsid w:val="00BE5F23"/>
    <w:rsid w:val="00BF12FE"/>
    <w:rsid w:val="00BF14A7"/>
    <w:rsid w:val="00BF28EC"/>
    <w:rsid w:val="00BF4E8A"/>
    <w:rsid w:val="00BF52D4"/>
    <w:rsid w:val="00BF5EB1"/>
    <w:rsid w:val="00BF67D9"/>
    <w:rsid w:val="00BF6E51"/>
    <w:rsid w:val="00C0124D"/>
    <w:rsid w:val="00C032CF"/>
    <w:rsid w:val="00C03744"/>
    <w:rsid w:val="00C03CFA"/>
    <w:rsid w:val="00C05177"/>
    <w:rsid w:val="00C05F52"/>
    <w:rsid w:val="00C06BC0"/>
    <w:rsid w:val="00C1061C"/>
    <w:rsid w:val="00C12326"/>
    <w:rsid w:val="00C2022D"/>
    <w:rsid w:val="00C2264D"/>
    <w:rsid w:val="00C24B88"/>
    <w:rsid w:val="00C25BF9"/>
    <w:rsid w:val="00C31035"/>
    <w:rsid w:val="00C31506"/>
    <w:rsid w:val="00C367B2"/>
    <w:rsid w:val="00C36ED8"/>
    <w:rsid w:val="00C37CEE"/>
    <w:rsid w:val="00C43FAE"/>
    <w:rsid w:val="00C442E5"/>
    <w:rsid w:val="00C46A45"/>
    <w:rsid w:val="00C47C3A"/>
    <w:rsid w:val="00C50DC4"/>
    <w:rsid w:val="00C52499"/>
    <w:rsid w:val="00C5295F"/>
    <w:rsid w:val="00C55807"/>
    <w:rsid w:val="00C55AE4"/>
    <w:rsid w:val="00C63073"/>
    <w:rsid w:val="00C64CD9"/>
    <w:rsid w:val="00C6526E"/>
    <w:rsid w:val="00C66D8F"/>
    <w:rsid w:val="00C70564"/>
    <w:rsid w:val="00C71455"/>
    <w:rsid w:val="00C717B9"/>
    <w:rsid w:val="00C746DC"/>
    <w:rsid w:val="00C8308E"/>
    <w:rsid w:val="00C91F4B"/>
    <w:rsid w:val="00C926BE"/>
    <w:rsid w:val="00C9419E"/>
    <w:rsid w:val="00C966CB"/>
    <w:rsid w:val="00C96DD5"/>
    <w:rsid w:val="00CA08CF"/>
    <w:rsid w:val="00CA162E"/>
    <w:rsid w:val="00CA5B5C"/>
    <w:rsid w:val="00CB0946"/>
    <w:rsid w:val="00CB1D91"/>
    <w:rsid w:val="00CB4C87"/>
    <w:rsid w:val="00CC0D20"/>
    <w:rsid w:val="00CC182F"/>
    <w:rsid w:val="00CC1AC3"/>
    <w:rsid w:val="00CC397E"/>
    <w:rsid w:val="00CC424A"/>
    <w:rsid w:val="00CC6C02"/>
    <w:rsid w:val="00CD313E"/>
    <w:rsid w:val="00CD6C0A"/>
    <w:rsid w:val="00CE1E0B"/>
    <w:rsid w:val="00CE271B"/>
    <w:rsid w:val="00CE2CEE"/>
    <w:rsid w:val="00CE2D9B"/>
    <w:rsid w:val="00CE5B18"/>
    <w:rsid w:val="00CE63D8"/>
    <w:rsid w:val="00CF0E54"/>
    <w:rsid w:val="00D00152"/>
    <w:rsid w:val="00D002EE"/>
    <w:rsid w:val="00D0059F"/>
    <w:rsid w:val="00D00B48"/>
    <w:rsid w:val="00D019E3"/>
    <w:rsid w:val="00D04BC0"/>
    <w:rsid w:val="00D07A1E"/>
    <w:rsid w:val="00D10F6E"/>
    <w:rsid w:val="00D13EBB"/>
    <w:rsid w:val="00D14DED"/>
    <w:rsid w:val="00D15F47"/>
    <w:rsid w:val="00D15FF2"/>
    <w:rsid w:val="00D165B7"/>
    <w:rsid w:val="00D16BFF"/>
    <w:rsid w:val="00D20895"/>
    <w:rsid w:val="00D21929"/>
    <w:rsid w:val="00D2288A"/>
    <w:rsid w:val="00D22AEB"/>
    <w:rsid w:val="00D244AC"/>
    <w:rsid w:val="00D258D9"/>
    <w:rsid w:val="00D32481"/>
    <w:rsid w:val="00D3415B"/>
    <w:rsid w:val="00D34A3D"/>
    <w:rsid w:val="00D3674E"/>
    <w:rsid w:val="00D36A8E"/>
    <w:rsid w:val="00D374EE"/>
    <w:rsid w:val="00D407DB"/>
    <w:rsid w:val="00D4404D"/>
    <w:rsid w:val="00D444D3"/>
    <w:rsid w:val="00D46F7B"/>
    <w:rsid w:val="00D50A20"/>
    <w:rsid w:val="00D513B1"/>
    <w:rsid w:val="00D51B41"/>
    <w:rsid w:val="00D51E63"/>
    <w:rsid w:val="00D55CAD"/>
    <w:rsid w:val="00D6212B"/>
    <w:rsid w:val="00D63394"/>
    <w:rsid w:val="00D6369E"/>
    <w:rsid w:val="00D721FD"/>
    <w:rsid w:val="00D72855"/>
    <w:rsid w:val="00D72B18"/>
    <w:rsid w:val="00D72B58"/>
    <w:rsid w:val="00D734FA"/>
    <w:rsid w:val="00D73A0E"/>
    <w:rsid w:val="00D755E4"/>
    <w:rsid w:val="00D7647F"/>
    <w:rsid w:val="00D76C24"/>
    <w:rsid w:val="00D77D7F"/>
    <w:rsid w:val="00D80E9B"/>
    <w:rsid w:val="00D8149E"/>
    <w:rsid w:val="00D83559"/>
    <w:rsid w:val="00D85994"/>
    <w:rsid w:val="00D876ED"/>
    <w:rsid w:val="00D90B3D"/>
    <w:rsid w:val="00D91EE4"/>
    <w:rsid w:val="00D93A5D"/>
    <w:rsid w:val="00D9489D"/>
    <w:rsid w:val="00D94DC3"/>
    <w:rsid w:val="00D952F7"/>
    <w:rsid w:val="00D96C8A"/>
    <w:rsid w:val="00DA31E9"/>
    <w:rsid w:val="00DA3268"/>
    <w:rsid w:val="00DA3780"/>
    <w:rsid w:val="00DA4C7F"/>
    <w:rsid w:val="00DB04E5"/>
    <w:rsid w:val="00DB0743"/>
    <w:rsid w:val="00DB13D1"/>
    <w:rsid w:val="00DB2159"/>
    <w:rsid w:val="00DB2F3B"/>
    <w:rsid w:val="00DB30BD"/>
    <w:rsid w:val="00DB35F6"/>
    <w:rsid w:val="00DC2E3D"/>
    <w:rsid w:val="00DC5BF5"/>
    <w:rsid w:val="00DC68ED"/>
    <w:rsid w:val="00DD1B23"/>
    <w:rsid w:val="00DD41C6"/>
    <w:rsid w:val="00DD4EA2"/>
    <w:rsid w:val="00DD710F"/>
    <w:rsid w:val="00DE2C99"/>
    <w:rsid w:val="00DE3DAE"/>
    <w:rsid w:val="00DE47C7"/>
    <w:rsid w:val="00DE591D"/>
    <w:rsid w:val="00DE6C74"/>
    <w:rsid w:val="00DE73C9"/>
    <w:rsid w:val="00DF033C"/>
    <w:rsid w:val="00DF0A00"/>
    <w:rsid w:val="00DF66E7"/>
    <w:rsid w:val="00DF710C"/>
    <w:rsid w:val="00DF7454"/>
    <w:rsid w:val="00E004DD"/>
    <w:rsid w:val="00E0075A"/>
    <w:rsid w:val="00E050DE"/>
    <w:rsid w:val="00E10004"/>
    <w:rsid w:val="00E1039C"/>
    <w:rsid w:val="00E112D9"/>
    <w:rsid w:val="00E11575"/>
    <w:rsid w:val="00E130E6"/>
    <w:rsid w:val="00E13CDE"/>
    <w:rsid w:val="00E141EE"/>
    <w:rsid w:val="00E14B10"/>
    <w:rsid w:val="00E16D59"/>
    <w:rsid w:val="00E17C5F"/>
    <w:rsid w:val="00E312F5"/>
    <w:rsid w:val="00E324B0"/>
    <w:rsid w:val="00E33222"/>
    <w:rsid w:val="00E33DC2"/>
    <w:rsid w:val="00E35B7E"/>
    <w:rsid w:val="00E37DF1"/>
    <w:rsid w:val="00E41419"/>
    <w:rsid w:val="00E45771"/>
    <w:rsid w:val="00E50D19"/>
    <w:rsid w:val="00E51E7D"/>
    <w:rsid w:val="00E52587"/>
    <w:rsid w:val="00E551C5"/>
    <w:rsid w:val="00E55E7A"/>
    <w:rsid w:val="00E657DF"/>
    <w:rsid w:val="00E67567"/>
    <w:rsid w:val="00E73FE8"/>
    <w:rsid w:val="00E7559C"/>
    <w:rsid w:val="00E75629"/>
    <w:rsid w:val="00E76ED0"/>
    <w:rsid w:val="00E77351"/>
    <w:rsid w:val="00E804FF"/>
    <w:rsid w:val="00E84BAA"/>
    <w:rsid w:val="00E84F3B"/>
    <w:rsid w:val="00E85778"/>
    <w:rsid w:val="00E86360"/>
    <w:rsid w:val="00E86E84"/>
    <w:rsid w:val="00E8757E"/>
    <w:rsid w:val="00E905B8"/>
    <w:rsid w:val="00E906FB"/>
    <w:rsid w:val="00E914F1"/>
    <w:rsid w:val="00E915DE"/>
    <w:rsid w:val="00E92DAA"/>
    <w:rsid w:val="00E9379E"/>
    <w:rsid w:val="00E944D0"/>
    <w:rsid w:val="00E96B6B"/>
    <w:rsid w:val="00E96D01"/>
    <w:rsid w:val="00EA1683"/>
    <w:rsid w:val="00EA1F43"/>
    <w:rsid w:val="00EA3B28"/>
    <w:rsid w:val="00EA5C95"/>
    <w:rsid w:val="00EA74E3"/>
    <w:rsid w:val="00EB0B9A"/>
    <w:rsid w:val="00EB1AB8"/>
    <w:rsid w:val="00EB2B88"/>
    <w:rsid w:val="00EB2D69"/>
    <w:rsid w:val="00EB43DB"/>
    <w:rsid w:val="00EB664B"/>
    <w:rsid w:val="00EB6C7C"/>
    <w:rsid w:val="00EC0C7E"/>
    <w:rsid w:val="00EC36BD"/>
    <w:rsid w:val="00EC62D3"/>
    <w:rsid w:val="00EC6306"/>
    <w:rsid w:val="00EC698F"/>
    <w:rsid w:val="00ED036B"/>
    <w:rsid w:val="00ED0951"/>
    <w:rsid w:val="00ED1622"/>
    <w:rsid w:val="00ED1706"/>
    <w:rsid w:val="00ED4A5C"/>
    <w:rsid w:val="00ED6302"/>
    <w:rsid w:val="00ED7C4A"/>
    <w:rsid w:val="00EE3DA8"/>
    <w:rsid w:val="00EE5287"/>
    <w:rsid w:val="00EF1CF9"/>
    <w:rsid w:val="00EF206D"/>
    <w:rsid w:val="00EF2B15"/>
    <w:rsid w:val="00EF3AAE"/>
    <w:rsid w:val="00EF743E"/>
    <w:rsid w:val="00F006DA"/>
    <w:rsid w:val="00F03088"/>
    <w:rsid w:val="00F03B49"/>
    <w:rsid w:val="00F044E0"/>
    <w:rsid w:val="00F0516E"/>
    <w:rsid w:val="00F06259"/>
    <w:rsid w:val="00F07E54"/>
    <w:rsid w:val="00F10BD7"/>
    <w:rsid w:val="00F121A0"/>
    <w:rsid w:val="00F15735"/>
    <w:rsid w:val="00F16EDF"/>
    <w:rsid w:val="00F22742"/>
    <w:rsid w:val="00F23922"/>
    <w:rsid w:val="00F23A0F"/>
    <w:rsid w:val="00F24471"/>
    <w:rsid w:val="00F246B6"/>
    <w:rsid w:val="00F24B4C"/>
    <w:rsid w:val="00F30306"/>
    <w:rsid w:val="00F31354"/>
    <w:rsid w:val="00F33999"/>
    <w:rsid w:val="00F34230"/>
    <w:rsid w:val="00F3521F"/>
    <w:rsid w:val="00F37636"/>
    <w:rsid w:val="00F40A7D"/>
    <w:rsid w:val="00F40BF4"/>
    <w:rsid w:val="00F41627"/>
    <w:rsid w:val="00F420F2"/>
    <w:rsid w:val="00F4269E"/>
    <w:rsid w:val="00F44199"/>
    <w:rsid w:val="00F466F1"/>
    <w:rsid w:val="00F47D88"/>
    <w:rsid w:val="00F515AF"/>
    <w:rsid w:val="00F52C70"/>
    <w:rsid w:val="00F55B75"/>
    <w:rsid w:val="00F55E24"/>
    <w:rsid w:val="00F6179D"/>
    <w:rsid w:val="00F623ED"/>
    <w:rsid w:val="00F64181"/>
    <w:rsid w:val="00F64675"/>
    <w:rsid w:val="00F66B7F"/>
    <w:rsid w:val="00F70B68"/>
    <w:rsid w:val="00F70D4C"/>
    <w:rsid w:val="00F7110C"/>
    <w:rsid w:val="00F715B5"/>
    <w:rsid w:val="00F7471B"/>
    <w:rsid w:val="00F769F4"/>
    <w:rsid w:val="00F77B79"/>
    <w:rsid w:val="00F800EA"/>
    <w:rsid w:val="00F80A62"/>
    <w:rsid w:val="00F814EA"/>
    <w:rsid w:val="00F82187"/>
    <w:rsid w:val="00F82F2E"/>
    <w:rsid w:val="00F85C02"/>
    <w:rsid w:val="00F85D7C"/>
    <w:rsid w:val="00F87402"/>
    <w:rsid w:val="00F87E04"/>
    <w:rsid w:val="00F91844"/>
    <w:rsid w:val="00F91D6D"/>
    <w:rsid w:val="00F9273C"/>
    <w:rsid w:val="00F9290D"/>
    <w:rsid w:val="00F974C8"/>
    <w:rsid w:val="00FA08D3"/>
    <w:rsid w:val="00FA207D"/>
    <w:rsid w:val="00FA2537"/>
    <w:rsid w:val="00FA4AB7"/>
    <w:rsid w:val="00FA51CD"/>
    <w:rsid w:val="00FA5974"/>
    <w:rsid w:val="00FA5A78"/>
    <w:rsid w:val="00FA61F2"/>
    <w:rsid w:val="00FB110F"/>
    <w:rsid w:val="00FB19A3"/>
    <w:rsid w:val="00FB36B4"/>
    <w:rsid w:val="00FB4116"/>
    <w:rsid w:val="00FB4959"/>
    <w:rsid w:val="00FB67C1"/>
    <w:rsid w:val="00FC08FA"/>
    <w:rsid w:val="00FC0C77"/>
    <w:rsid w:val="00FC2EC9"/>
    <w:rsid w:val="00FC4C15"/>
    <w:rsid w:val="00FD2D93"/>
    <w:rsid w:val="00FD4794"/>
    <w:rsid w:val="00FD5324"/>
    <w:rsid w:val="00FE3ECA"/>
    <w:rsid w:val="00FE5EDD"/>
    <w:rsid w:val="00FE7913"/>
    <w:rsid w:val="00FF0614"/>
    <w:rsid w:val="00FF163E"/>
    <w:rsid w:val="00FF193A"/>
    <w:rsid w:val="00FF2580"/>
    <w:rsid w:val="00FF3BC6"/>
    <w:rsid w:val="00FF75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DD575E6A-4B13-4A49-988F-D950463A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h1,Heading 1 3GPP"/>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aliases w:val="H2,h2,DO NOT USE_h2,h21,Heading 2 3GPP"/>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link w:val="TALC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link w:val="B2Char"/>
    <w:qFormat/>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批注主题 Char"/>
    <w:basedOn w:val="Char1"/>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ACChar">
    <w:name w:val="TAC Char"/>
    <w:link w:val="TAC"/>
    <w:qFormat/>
    <w:rsid w:val="005479D3"/>
    <w:rPr>
      <w:rFonts w:ascii="Arial" w:eastAsia="Batang" w:hAnsi="Arial"/>
      <w:sz w:val="18"/>
      <w:lang w:val="en-GB"/>
    </w:rPr>
  </w:style>
  <w:style w:type="character" w:customStyle="1" w:styleId="TALCar">
    <w:name w:val="TAL Car"/>
    <w:link w:val="TAL"/>
    <w:rsid w:val="005479D3"/>
    <w:rPr>
      <w:rFonts w:ascii="Arial" w:eastAsia="Batang" w:hAnsi="Arial"/>
      <w:sz w:val="18"/>
      <w:lang w:val="en-GB"/>
    </w:rPr>
  </w:style>
  <w:style w:type="paragraph" w:customStyle="1" w:styleId="14">
    <w:name w:val="列出段落1"/>
    <w:basedOn w:val="a"/>
    <w:link w:val="Char4"/>
    <w:uiPriority w:val="34"/>
    <w:qFormat/>
    <w:rsid w:val="005479D3"/>
    <w:pPr>
      <w:ind w:firstLineChars="200" w:firstLine="420"/>
    </w:pPr>
    <w:rPr>
      <w:rFonts w:eastAsia="宋体"/>
      <w:lang w:eastAsia="en-US"/>
    </w:rPr>
  </w:style>
  <w:style w:type="character" w:customStyle="1" w:styleId="THChar">
    <w:name w:val="TH Char"/>
    <w:link w:val="TH"/>
    <w:rsid w:val="005479D3"/>
    <w:rPr>
      <w:rFonts w:ascii="Arial" w:eastAsia="Batang" w:hAnsi="Arial"/>
      <w:b/>
      <w:lang w:val="en-GB"/>
    </w:rPr>
  </w:style>
  <w:style w:type="character" w:customStyle="1" w:styleId="TAHCar">
    <w:name w:val="TAH Car"/>
    <w:link w:val="TAH"/>
    <w:qFormat/>
    <w:rsid w:val="005479D3"/>
    <w:rPr>
      <w:rFonts w:ascii="Arial" w:eastAsia="Batang" w:hAnsi="Arial"/>
      <w:b/>
      <w:sz w:val="18"/>
      <w:lang w:val="en-GB"/>
    </w:rPr>
  </w:style>
  <w:style w:type="character" w:customStyle="1" w:styleId="Char4">
    <w:name w:val="列出段落 Char"/>
    <w:link w:val="14"/>
    <w:uiPriority w:val="34"/>
    <w:locked/>
    <w:rsid w:val="005479D3"/>
    <w:rPr>
      <w:rFonts w:ascii="Times New Roman" w:eastAsia="宋体" w:hAnsi="Times New Roman"/>
      <w:lang w:val="en-GB" w:eastAsia="en-US"/>
    </w:rPr>
  </w:style>
  <w:style w:type="character" w:customStyle="1" w:styleId="B2Char">
    <w:name w:val="B2 Char"/>
    <w:link w:val="B2"/>
    <w:qFormat/>
    <w:locked/>
    <w:rsid w:val="001B0972"/>
    <w:rPr>
      <w:rFonts w:ascii="Times New Roman" w:eastAsia="Batang" w:hAnsi="Times New Roman"/>
      <w:lang w:val="en-GB"/>
    </w:rPr>
  </w:style>
  <w:style w:type="paragraph" w:styleId="a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8E504F"/>
    <w:pPr>
      <w:widowControl w:val="0"/>
      <w:overflowPunct/>
      <w:autoSpaceDE/>
      <w:autoSpaceDN/>
      <w:adjustRightInd/>
      <w:spacing w:after="0"/>
      <w:ind w:firstLine="420"/>
      <w:jc w:val="both"/>
      <w:textAlignment w:val="auto"/>
    </w:pPr>
    <w:rPr>
      <w:rFonts w:eastAsia="宋体"/>
      <w:kern w:val="2"/>
      <w:sz w:val="21"/>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7"/>
    <w:locked/>
    <w:rsid w:val="008E504F"/>
    <w:rPr>
      <w:rFonts w:ascii="Times New Roman" w:eastAsia="宋体" w:hAnsi="Times New Roman"/>
      <w:kern w:val="2"/>
      <w:sz w:val="21"/>
      <w:lang w:val="en-GB" w:eastAsia="zh-CN"/>
    </w:rPr>
  </w:style>
  <w:style w:type="paragraph" w:customStyle="1" w:styleId="af8">
    <w:name w:val="参考资料列表"/>
    <w:basedOn w:val="a8"/>
    <w:link w:val="Char5"/>
    <w:rsid w:val="000E7ABE"/>
    <w:pPr>
      <w:spacing w:before="80" w:after="80"/>
      <w:ind w:left="680" w:hanging="567"/>
      <w:jc w:val="both"/>
    </w:pPr>
    <w:rPr>
      <w:rFonts w:eastAsia="宋体"/>
      <w:sz w:val="21"/>
      <w:szCs w:val="22"/>
      <w:lang w:eastAsia="zh-CN"/>
    </w:rPr>
  </w:style>
  <w:style w:type="character" w:customStyle="1" w:styleId="Char5">
    <w:name w:val="参考资料列表 Char"/>
    <w:link w:val="af8"/>
    <w:rsid w:val="000E7ABE"/>
    <w:rPr>
      <w:rFonts w:ascii="Times New Roman" w:eastAsia="宋体" w:hAnsi="Times New Roman"/>
      <w:sz w:val="21"/>
      <w:szCs w:val="22"/>
      <w:lang w:val="en-GB" w:eastAsia="zh-CN"/>
    </w:rPr>
  </w:style>
  <w:style w:type="character" w:customStyle="1" w:styleId="B1Char">
    <w:name w:val="B1 Char"/>
    <w:link w:val="B1"/>
    <w:rsid w:val="006B2A88"/>
    <w:rPr>
      <w:rFonts w:ascii="Times New Roman" w:eastAsia="Batang" w:hAnsi="Times New Roman"/>
      <w:lang w:val="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F06259"/>
    <w:pPr>
      <w:overflowPunct/>
      <w:autoSpaceDE/>
      <w:autoSpaceDN/>
      <w:adjustRightInd/>
      <w:spacing w:after="120"/>
      <w:textAlignment w:val="auto"/>
    </w:pPr>
    <w:rPr>
      <w:rFonts w:eastAsia="宋体"/>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9"/>
    <w:rsid w:val="00F0625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118574553">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401025314">
      <w:bodyDiv w:val="1"/>
      <w:marLeft w:val="0"/>
      <w:marRight w:val="0"/>
      <w:marTop w:val="0"/>
      <w:marBottom w:val="0"/>
      <w:divBdr>
        <w:top w:val="none" w:sz="0" w:space="0" w:color="auto"/>
        <w:left w:val="none" w:sz="0" w:space="0" w:color="auto"/>
        <w:bottom w:val="none" w:sz="0" w:space="0" w:color="auto"/>
        <w:right w:val="none" w:sz="0" w:space="0" w:color="auto"/>
      </w:divBdr>
    </w:div>
    <w:div w:id="452097675">
      <w:bodyDiv w:val="1"/>
      <w:marLeft w:val="0"/>
      <w:marRight w:val="0"/>
      <w:marTop w:val="0"/>
      <w:marBottom w:val="0"/>
      <w:divBdr>
        <w:top w:val="none" w:sz="0" w:space="0" w:color="auto"/>
        <w:left w:val="none" w:sz="0" w:space="0" w:color="auto"/>
        <w:bottom w:val="none" w:sz="0" w:space="0" w:color="auto"/>
        <w:right w:val="none" w:sz="0" w:space="0" w:color="auto"/>
      </w:divBdr>
      <w:divsChild>
        <w:div w:id="319894545">
          <w:marLeft w:val="1080"/>
          <w:marRight w:val="0"/>
          <w:marTop w:val="100"/>
          <w:marBottom w:val="0"/>
          <w:divBdr>
            <w:top w:val="none" w:sz="0" w:space="0" w:color="auto"/>
            <w:left w:val="none" w:sz="0" w:space="0" w:color="auto"/>
            <w:bottom w:val="none" w:sz="0" w:space="0" w:color="auto"/>
            <w:right w:val="none" w:sz="0" w:space="0" w:color="auto"/>
          </w:divBdr>
        </w:div>
        <w:div w:id="445390154">
          <w:marLeft w:val="1080"/>
          <w:marRight w:val="0"/>
          <w:marTop w:val="100"/>
          <w:marBottom w:val="0"/>
          <w:divBdr>
            <w:top w:val="none" w:sz="0" w:space="0" w:color="auto"/>
            <w:left w:val="none" w:sz="0" w:space="0" w:color="auto"/>
            <w:bottom w:val="none" w:sz="0" w:space="0" w:color="auto"/>
            <w:right w:val="none" w:sz="0" w:space="0" w:color="auto"/>
          </w:divBdr>
        </w:div>
        <w:div w:id="603803121">
          <w:marLeft w:val="360"/>
          <w:marRight w:val="0"/>
          <w:marTop w:val="200"/>
          <w:marBottom w:val="0"/>
          <w:divBdr>
            <w:top w:val="none" w:sz="0" w:space="0" w:color="auto"/>
            <w:left w:val="none" w:sz="0" w:space="0" w:color="auto"/>
            <w:bottom w:val="none" w:sz="0" w:space="0" w:color="auto"/>
            <w:right w:val="none" w:sz="0" w:space="0" w:color="auto"/>
          </w:divBdr>
        </w:div>
        <w:div w:id="1934587039">
          <w:marLeft w:val="1080"/>
          <w:marRight w:val="0"/>
          <w:marTop w:val="100"/>
          <w:marBottom w:val="0"/>
          <w:divBdr>
            <w:top w:val="none" w:sz="0" w:space="0" w:color="auto"/>
            <w:left w:val="none" w:sz="0" w:space="0" w:color="auto"/>
            <w:bottom w:val="none" w:sz="0" w:space="0" w:color="auto"/>
            <w:right w:val="none" w:sz="0" w:space="0" w:color="auto"/>
          </w:divBdr>
        </w:div>
      </w:divsChild>
    </w:div>
    <w:div w:id="471600340">
      <w:bodyDiv w:val="1"/>
      <w:marLeft w:val="0"/>
      <w:marRight w:val="0"/>
      <w:marTop w:val="0"/>
      <w:marBottom w:val="0"/>
      <w:divBdr>
        <w:top w:val="none" w:sz="0" w:space="0" w:color="auto"/>
        <w:left w:val="none" w:sz="0" w:space="0" w:color="auto"/>
        <w:bottom w:val="none" w:sz="0" w:space="0" w:color="auto"/>
        <w:right w:val="none" w:sz="0" w:space="0" w:color="auto"/>
      </w:divBdr>
      <w:divsChild>
        <w:div w:id="47069049">
          <w:marLeft w:val="360"/>
          <w:marRight w:val="0"/>
          <w:marTop w:val="200"/>
          <w:marBottom w:val="0"/>
          <w:divBdr>
            <w:top w:val="none" w:sz="0" w:space="0" w:color="auto"/>
            <w:left w:val="none" w:sz="0" w:space="0" w:color="auto"/>
            <w:bottom w:val="none" w:sz="0" w:space="0" w:color="auto"/>
            <w:right w:val="none" w:sz="0" w:space="0" w:color="auto"/>
          </w:divBdr>
        </w:div>
        <w:div w:id="735053688">
          <w:marLeft w:val="1800"/>
          <w:marRight w:val="0"/>
          <w:marTop w:val="100"/>
          <w:marBottom w:val="0"/>
          <w:divBdr>
            <w:top w:val="none" w:sz="0" w:space="0" w:color="auto"/>
            <w:left w:val="none" w:sz="0" w:space="0" w:color="auto"/>
            <w:bottom w:val="none" w:sz="0" w:space="0" w:color="auto"/>
            <w:right w:val="none" w:sz="0" w:space="0" w:color="auto"/>
          </w:divBdr>
        </w:div>
        <w:div w:id="831066297">
          <w:marLeft w:val="1080"/>
          <w:marRight w:val="0"/>
          <w:marTop w:val="100"/>
          <w:marBottom w:val="0"/>
          <w:divBdr>
            <w:top w:val="none" w:sz="0" w:space="0" w:color="auto"/>
            <w:left w:val="none" w:sz="0" w:space="0" w:color="auto"/>
            <w:bottom w:val="none" w:sz="0" w:space="0" w:color="auto"/>
            <w:right w:val="none" w:sz="0" w:space="0" w:color="auto"/>
          </w:divBdr>
        </w:div>
        <w:div w:id="1210069278">
          <w:marLeft w:val="1800"/>
          <w:marRight w:val="0"/>
          <w:marTop w:val="100"/>
          <w:marBottom w:val="0"/>
          <w:divBdr>
            <w:top w:val="none" w:sz="0" w:space="0" w:color="auto"/>
            <w:left w:val="none" w:sz="0" w:space="0" w:color="auto"/>
            <w:bottom w:val="none" w:sz="0" w:space="0" w:color="auto"/>
            <w:right w:val="none" w:sz="0" w:space="0" w:color="auto"/>
          </w:divBdr>
        </w:div>
        <w:div w:id="1215047234">
          <w:marLeft w:val="1800"/>
          <w:marRight w:val="0"/>
          <w:marTop w:val="100"/>
          <w:marBottom w:val="0"/>
          <w:divBdr>
            <w:top w:val="none" w:sz="0" w:space="0" w:color="auto"/>
            <w:left w:val="none" w:sz="0" w:space="0" w:color="auto"/>
            <w:bottom w:val="none" w:sz="0" w:space="0" w:color="auto"/>
            <w:right w:val="none" w:sz="0" w:space="0" w:color="auto"/>
          </w:divBdr>
        </w:div>
        <w:div w:id="1297033196">
          <w:marLeft w:val="1080"/>
          <w:marRight w:val="0"/>
          <w:marTop w:val="100"/>
          <w:marBottom w:val="0"/>
          <w:divBdr>
            <w:top w:val="none" w:sz="0" w:space="0" w:color="auto"/>
            <w:left w:val="none" w:sz="0" w:space="0" w:color="auto"/>
            <w:bottom w:val="none" w:sz="0" w:space="0" w:color="auto"/>
            <w:right w:val="none" w:sz="0" w:space="0" w:color="auto"/>
          </w:divBdr>
        </w:div>
        <w:div w:id="1651523866">
          <w:marLeft w:val="1800"/>
          <w:marRight w:val="0"/>
          <w:marTop w:val="100"/>
          <w:marBottom w:val="0"/>
          <w:divBdr>
            <w:top w:val="none" w:sz="0" w:space="0" w:color="auto"/>
            <w:left w:val="none" w:sz="0" w:space="0" w:color="auto"/>
            <w:bottom w:val="none" w:sz="0" w:space="0" w:color="auto"/>
            <w:right w:val="none" w:sz="0" w:space="0" w:color="auto"/>
          </w:divBdr>
        </w:div>
      </w:divsChild>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652177912">
      <w:bodyDiv w:val="1"/>
      <w:marLeft w:val="0"/>
      <w:marRight w:val="0"/>
      <w:marTop w:val="0"/>
      <w:marBottom w:val="0"/>
      <w:divBdr>
        <w:top w:val="none" w:sz="0" w:space="0" w:color="auto"/>
        <w:left w:val="none" w:sz="0" w:space="0" w:color="auto"/>
        <w:bottom w:val="none" w:sz="0" w:space="0" w:color="auto"/>
        <w:right w:val="none" w:sz="0" w:space="0" w:color="auto"/>
      </w:divBdr>
      <w:divsChild>
        <w:div w:id="188833959">
          <w:marLeft w:val="360"/>
          <w:marRight w:val="0"/>
          <w:marTop w:val="200"/>
          <w:marBottom w:val="0"/>
          <w:divBdr>
            <w:top w:val="none" w:sz="0" w:space="0" w:color="auto"/>
            <w:left w:val="none" w:sz="0" w:space="0" w:color="auto"/>
            <w:bottom w:val="none" w:sz="0" w:space="0" w:color="auto"/>
            <w:right w:val="none" w:sz="0" w:space="0" w:color="auto"/>
          </w:divBdr>
        </w:div>
        <w:div w:id="700741653">
          <w:marLeft w:val="1080"/>
          <w:marRight w:val="0"/>
          <w:marTop w:val="100"/>
          <w:marBottom w:val="0"/>
          <w:divBdr>
            <w:top w:val="none" w:sz="0" w:space="0" w:color="auto"/>
            <w:left w:val="none" w:sz="0" w:space="0" w:color="auto"/>
            <w:bottom w:val="none" w:sz="0" w:space="0" w:color="auto"/>
            <w:right w:val="none" w:sz="0" w:space="0" w:color="auto"/>
          </w:divBdr>
        </w:div>
        <w:div w:id="879247312">
          <w:marLeft w:val="1080"/>
          <w:marRight w:val="0"/>
          <w:marTop w:val="100"/>
          <w:marBottom w:val="0"/>
          <w:divBdr>
            <w:top w:val="none" w:sz="0" w:space="0" w:color="auto"/>
            <w:left w:val="none" w:sz="0" w:space="0" w:color="auto"/>
            <w:bottom w:val="none" w:sz="0" w:space="0" w:color="auto"/>
            <w:right w:val="none" w:sz="0" w:space="0" w:color="auto"/>
          </w:divBdr>
        </w:div>
        <w:div w:id="1387801729">
          <w:marLeft w:val="360"/>
          <w:marRight w:val="0"/>
          <w:marTop w:val="200"/>
          <w:marBottom w:val="0"/>
          <w:divBdr>
            <w:top w:val="none" w:sz="0" w:space="0" w:color="auto"/>
            <w:left w:val="none" w:sz="0" w:space="0" w:color="auto"/>
            <w:bottom w:val="none" w:sz="0" w:space="0" w:color="auto"/>
            <w:right w:val="none" w:sz="0" w:space="0" w:color="auto"/>
          </w:divBdr>
        </w:div>
        <w:div w:id="1499616161">
          <w:marLeft w:val="360"/>
          <w:marRight w:val="0"/>
          <w:marTop w:val="200"/>
          <w:marBottom w:val="0"/>
          <w:divBdr>
            <w:top w:val="none" w:sz="0" w:space="0" w:color="auto"/>
            <w:left w:val="none" w:sz="0" w:space="0" w:color="auto"/>
            <w:bottom w:val="none" w:sz="0" w:space="0" w:color="auto"/>
            <w:right w:val="none" w:sz="0" w:space="0" w:color="auto"/>
          </w:divBdr>
        </w:div>
        <w:div w:id="1652557722">
          <w:marLeft w:val="1080"/>
          <w:marRight w:val="0"/>
          <w:marTop w:val="100"/>
          <w:marBottom w:val="0"/>
          <w:divBdr>
            <w:top w:val="none" w:sz="0" w:space="0" w:color="auto"/>
            <w:left w:val="none" w:sz="0" w:space="0" w:color="auto"/>
            <w:bottom w:val="none" w:sz="0" w:space="0" w:color="auto"/>
            <w:right w:val="none" w:sz="0" w:space="0" w:color="auto"/>
          </w:divBdr>
        </w:div>
      </w:divsChild>
    </w:div>
    <w:div w:id="758449753">
      <w:bodyDiv w:val="1"/>
      <w:marLeft w:val="0"/>
      <w:marRight w:val="0"/>
      <w:marTop w:val="0"/>
      <w:marBottom w:val="0"/>
      <w:divBdr>
        <w:top w:val="none" w:sz="0" w:space="0" w:color="auto"/>
        <w:left w:val="none" w:sz="0" w:space="0" w:color="auto"/>
        <w:bottom w:val="none" w:sz="0" w:space="0" w:color="auto"/>
        <w:right w:val="none" w:sz="0" w:space="0" w:color="auto"/>
      </w:divBdr>
      <w:divsChild>
        <w:div w:id="85737161">
          <w:marLeft w:val="720"/>
          <w:marRight w:val="0"/>
          <w:marTop w:val="200"/>
          <w:marBottom w:val="0"/>
          <w:divBdr>
            <w:top w:val="none" w:sz="0" w:space="0" w:color="auto"/>
            <w:left w:val="none" w:sz="0" w:space="0" w:color="auto"/>
            <w:bottom w:val="none" w:sz="0" w:space="0" w:color="auto"/>
            <w:right w:val="none" w:sz="0" w:space="0" w:color="auto"/>
          </w:divBdr>
        </w:div>
        <w:div w:id="362171431">
          <w:marLeft w:val="720"/>
          <w:marRight w:val="0"/>
          <w:marTop w:val="200"/>
          <w:marBottom w:val="0"/>
          <w:divBdr>
            <w:top w:val="none" w:sz="0" w:space="0" w:color="auto"/>
            <w:left w:val="none" w:sz="0" w:space="0" w:color="auto"/>
            <w:bottom w:val="none" w:sz="0" w:space="0" w:color="auto"/>
            <w:right w:val="none" w:sz="0" w:space="0" w:color="auto"/>
          </w:divBdr>
        </w:div>
        <w:div w:id="866255692">
          <w:marLeft w:val="720"/>
          <w:marRight w:val="0"/>
          <w:marTop w:val="200"/>
          <w:marBottom w:val="0"/>
          <w:divBdr>
            <w:top w:val="none" w:sz="0" w:space="0" w:color="auto"/>
            <w:left w:val="none" w:sz="0" w:space="0" w:color="auto"/>
            <w:bottom w:val="none" w:sz="0" w:space="0" w:color="auto"/>
            <w:right w:val="none" w:sz="0" w:space="0" w:color="auto"/>
          </w:divBdr>
        </w:div>
        <w:div w:id="1312909127">
          <w:marLeft w:val="720"/>
          <w:marRight w:val="0"/>
          <w:marTop w:val="200"/>
          <w:marBottom w:val="0"/>
          <w:divBdr>
            <w:top w:val="none" w:sz="0" w:space="0" w:color="auto"/>
            <w:left w:val="none" w:sz="0" w:space="0" w:color="auto"/>
            <w:bottom w:val="none" w:sz="0" w:space="0" w:color="auto"/>
            <w:right w:val="none" w:sz="0" w:space="0" w:color="auto"/>
          </w:divBdr>
        </w:div>
        <w:div w:id="1668821531">
          <w:marLeft w:val="720"/>
          <w:marRight w:val="0"/>
          <w:marTop w:val="200"/>
          <w:marBottom w:val="0"/>
          <w:divBdr>
            <w:top w:val="none" w:sz="0" w:space="0" w:color="auto"/>
            <w:left w:val="none" w:sz="0" w:space="0" w:color="auto"/>
            <w:bottom w:val="none" w:sz="0" w:space="0" w:color="auto"/>
            <w:right w:val="none" w:sz="0" w:space="0" w:color="auto"/>
          </w:divBdr>
        </w:div>
        <w:div w:id="1838571114">
          <w:marLeft w:val="720"/>
          <w:marRight w:val="0"/>
          <w:marTop w:val="200"/>
          <w:marBottom w:val="0"/>
          <w:divBdr>
            <w:top w:val="none" w:sz="0" w:space="0" w:color="auto"/>
            <w:left w:val="none" w:sz="0" w:space="0" w:color="auto"/>
            <w:bottom w:val="none" w:sz="0" w:space="0" w:color="auto"/>
            <w:right w:val="none" w:sz="0" w:space="0" w:color="auto"/>
          </w:divBdr>
        </w:div>
      </w:divsChild>
    </w:div>
    <w:div w:id="814761360">
      <w:bodyDiv w:val="1"/>
      <w:marLeft w:val="0"/>
      <w:marRight w:val="0"/>
      <w:marTop w:val="0"/>
      <w:marBottom w:val="0"/>
      <w:divBdr>
        <w:top w:val="none" w:sz="0" w:space="0" w:color="auto"/>
        <w:left w:val="none" w:sz="0" w:space="0" w:color="auto"/>
        <w:bottom w:val="none" w:sz="0" w:space="0" w:color="auto"/>
        <w:right w:val="none" w:sz="0" w:space="0" w:color="auto"/>
      </w:divBdr>
      <w:divsChild>
        <w:div w:id="546376055">
          <w:marLeft w:val="360"/>
          <w:marRight w:val="0"/>
          <w:marTop w:val="0"/>
          <w:marBottom w:val="120"/>
          <w:divBdr>
            <w:top w:val="none" w:sz="0" w:space="0" w:color="auto"/>
            <w:left w:val="none" w:sz="0" w:space="0" w:color="auto"/>
            <w:bottom w:val="none" w:sz="0" w:space="0" w:color="auto"/>
            <w:right w:val="none" w:sz="0" w:space="0" w:color="auto"/>
          </w:divBdr>
        </w:div>
        <w:div w:id="922690189">
          <w:marLeft w:val="360"/>
          <w:marRight w:val="0"/>
          <w:marTop w:val="0"/>
          <w:marBottom w:val="120"/>
          <w:divBdr>
            <w:top w:val="none" w:sz="0" w:space="0" w:color="auto"/>
            <w:left w:val="none" w:sz="0" w:space="0" w:color="auto"/>
            <w:bottom w:val="none" w:sz="0" w:space="0" w:color="auto"/>
            <w:right w:val="none" w:sz="0" w:space="0" w:color="auto"/>
          </w:divBdr>
        </w:div>
        <w:div w:id="1415056917">
          <w:marLeft w:val="360"/>
          <w:marRight w:val="0"/>
          <w:marTop w:val="0"/>
          <w:marBottom w:val="120"/>
          <w:divBdr>
            <w:top w:val="none" w:sz="0" w:space="0" w:color="auto"/>
            <w:left w:val="none" w:sz="0" w:space="0" w:color="auto"/>
            <w:bottom w:val="none" w:sz="0" w:space="0" w:color="auto"/>
            <w:right w:val="none" w:sz="0" w:space="0" w:color="auto"/>
          </w:divBdr>
        </w:div>
        <w:div w:id="1719087465">
          <w:marLeft w:val="1080"/>
          <w:marRight w:val="0"/>
          <w:marTop w:val="200"/>
          <w:marBottom w:val="120"/>
          <w:divBdr>
            <w:top w:val="none" w:sz="0" w:space="0" w:color="auto"/>
            <w:left w:val="none" w:sz="0" w:space="0" w:color="auto"/>
            <w:bottom w:val="none" w:sz="0" w:space="0" w:color="auto"/>
            <w:right w:val="none" w:sz="0" w:space="0" w:color="auto"/>
          </w:divBdr>
        </w:div>
        <w:div w:id="1766732047">
          <w:marLeft w:val="360"/>
          <w:marRight w:val="0"/>
          <w:marTop w:val="0"/>
          <w:marBottom w:val="120"/>
          <w:divBdr>
            <w:top w:val="none" w:sz="0" w:space="0" w:color="auto"/>
            <w:left w:val="none" w:sz="0" w:space="0" w:color="auto"/>
            <w:bottom w:val="none" w:sz="0" w:space="0" w:color="auto"/>
            <w:right w:val="none" w:sz="0" w:space="0" w:color="auto"/>
          </w:divBdr>
        </w:div>
      </w:divsChild>
    </w:div>
    <w:div w:id="844443666">
      <w:bodyDiv w:val="1"/>
      <w:marLeft w:val="0"/>
      <w:marRight w:val="0"/>
      <w:marTop w:val="0"/>
      <w:marBottom w:val="0"/>
      <w:divBdr>
        <w:top w:val="none" w:sz="0" w:space="0" w:color="auto"/>
        <w:left w:val="none" w:sz="0" w:space="0" w:color="auto"/>
        <w:bottom w:val="none" w:sz="0" w:space="0" w:color="auto"/>
        <w:right w:val="none" w:sz="0" w:space="0" w:color="auto"/>
      </w:divBdr>
    </w:div>
    <w:div w:id="863597907">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19872083">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05803308">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46824257">
      <w:bodyDiv w:val="1"/>
      <w:marLeft w:val="150"/>
      <w:marRight w:val="150"/>
      <w:marTop w:val="150"/>
      <w:marBottom w:val="15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280642249">
      <w:bodyDiv w:val="1"/>
      <w:marLeft w:val="150"/>
      <w:marRight w:val="150"/>
      <w:marTop w:val="150"/>
      <w:marBottom w:val="150"/>
      <w:divBdr>
        <w:top w:val="none" w:sz="0" w:space="0" w:color="auto"/>
        <w:left w:val="none" w:sz="0" w:space="0" w:color="auto"/>
        <w:bottom w:val="none" w:sz="0" w:space="0" w:color="auto"/>
        <w:right w:val="none" w:sz="0" w:space="0" w:color="auto"/>
      </w:divBdr>
    </w:div>
    <w:div w:id="1309632724">
      <w:bodyDiv w:val="1"/>
      <w:marLeft w:val="0"/>
      <w:marRight w:val="0"/>
      <w:marTop w:val="0"/>
      <w:marBottom w:val="0"/>
      <w:divBdr>
        <w:top w:val="none" w:sz="0" w:space="0" w:color="auto"/>
        <w:left w:val="none" w:sz="0" w:space="0" w:color="auto"/>
        <w:bottom w:val="none" w:sz="0" w:space="0" w:color="auto"/>
        <w:right w:val="none" w:sz="0" w:space="0" w:color="auto"/>
      </w:divBdr>
      <w:divsChild>
        <w:div w:id="36051660">
          <w:marLeft w:val="1080"/>
          <w:marRight w:val="0"/>
          <w:marTop w:val="100"/>
          <w:marBottom w:val="0"/>
          <w:divBdr>
            <w:top w:val="none" w:sz="0" w:space="0" w:color="auto"/>
            <w:left w:val="none" w:sz="0" w:space="0" w:color="auto"/>
            <w:bottom w:val="none" w:sz="0" w:space="0" w:color="auto"/>
            <w:right w:val="none" w:sz="0" w:space="0" w:color="auto"/>
          </w:divBdr>
        </w:div>
        <w:div w:id="469517068">
          <w:marLeft w:val="1800"/>
          <w:marRight w:val="0"/>
          <w:marTop w:val="100"/>
          <w:marBottom w:val="0"/>
          <w:divBdr>
            <w:top w:val="none" w:sz="0" w:space="0" w:color="auto"/>
            <w:left w:val="none" w:sz="0" w:space="0" w:color="auto"/>
            <w:bottom w:val="none" w:sz="0" w:space="0" w:color="auto"/>
            <w:right w:val="none" w:sz="0" w:space="0" w:color="auto"/>
          </w:divBdr>
        </w:div>
        <w:div w:id="927494646">
          <w:marLeft w:val="360"/>
          <w:marRight w:val="0"/>
          <w:marTop w:val="200"/>
          <w:marBottom w:val="0"/>
          <w:divBdr>
            <w:top w:val="none" w:sz="0" w:space="0" w:color="auto"/>
            <w:left w:val="none" w:sz="0" w:space="0" w:color="auto"/>
            <w:bottom w:val="none" w:sz="0" w:space="0" w:color="auto"/>
            <w:right w:val="none" w:sz="0" w:space="0" w:color="auto"/>
          </w:divBdr>
        </w:div>
        <w:div w:id="980160837">
          <w:marLeft w:val="1800"/>
          <w:marRight w:val="0"/>
          <w:marTop w:val="100"/>
          <w:marBottom w:val="0"/>
          <w:divBdr>
            <w:top w:val="none" w:sz="0" w:space="0" w:color="auto"/>
            <w:left w:val="none" w:sz="0" w:space="0" w:color="auto"/>
            <w:bottom w:val="none" w:sz="0" w:space="0" w:color="auto"/>
            <w:right w:val="none" w:sz="0" w:space="0" w:color="auto"/>
          </w:divBdr>
        </w:div>
        <w:div w:id="1180460981">
          <w:marLeft w:val="1080"/>
          <w:marRight w:val="0"/>
          <w:marTop w:val="100"/>
          <w:marBottom w:val="0"/>
          <w:divBdr>
            <w:top w:val="none" w:sz="0" w:space="0" w:color="auto"/>
            <w:left w:val="none" w:sz="0" w:space="0" w:color="auto"/>
            <w:bottom w:val="none" w:sz="0" w:space="0" w:color="auto"/>
            <w:right w:val="none" w:sz="0" w:space="0" w:color="auto"/>
          </w:divBdr>
        </w:div>
        <w:div w:id="1263369882">
          <w:marLeft w:val="1800"/>
          <w:marRight w:val="0"/>
          <w:marTop w:val="100"/>
          <w:marBottom w:val="0"/>
          <w:divBdr>
            <w:top w:val="none" w:sz="0" w:space="0" w:color="auto"/>
            <w:left w:val="none" w:sz="0" w:space="0" w:color="auto"/>
            <w:bottom w:val="none" w:sz="0" w:space="0" w:color="auto"/>
            <w:right w:val="none" w:sz="0" w:space="0" w:color="auto"/>
          </w:divBdr>
        </w:div>
        <w:div w:id="1864437818">
          <w:marLeft w:val="1800"/>
          <w:marRight w:val="0"/>
          <w:marTop w:val="100"/>
          <w:marBottom w:val="0"/>
          <w:divBdr>
            <w:top w:val="none" w:sz="0" w:space="0" w:color="auto"/>
            <w:left w:val="none" w:sz="0" w:space="0" w:color="auto"/>
            <w:bottom w:val="none" w:sz="0" w:space="0" w:color="auto"/>
            <w:right w:val="none" w:sz="0" w:space="0" w:color="auto"/>
          </w:divBdr>
        </w:div>
      </w:divsChild>
    </w:div>
    <w:div w:id="1333993867">
      <w:bodyDiv w:val="1"/>
      <w:marLeft w:val="0"/>
      <w:marRight w:val="0"/>
      <w:marTop w:val="0"/>
      <w:marBottom w:val="0"/>
      <w:divBdr>
        <w:top w:val="none" w:sz="0" w:space="0" w:color="auto"/>
        <w:left w:val="none" w:sz="0" w:space="0" w:color="auto"/>
        <w:bottom w:val="none" w:sz="0" w:space="0" w:color="auto"/>
        <w:right w:val="none" w:sz="0" w:space="0" w:color="auto"/>
      </w:divBdr>
      <w:divsChild>
        <w:div w:id="610823741">
          <w:marLeft w:val="1080"/>
          <w:marRight w:val="0"/>
          <w:marTop w:val="100"/>
          <w:marBottom w:val="0"/>
          <w:divBdr>
            <w:top w:val="none" w:sz="0" w:space="0" w:color="auto"/>
            <w:left w:val="none" w:sz="0" w:space="0" w:color="auto"/>
            <w:bottom w:val="none" w:sz="0" w:space="0" w:color="auto"/>
            <w:right w:val="none" w:sz="0" w:space="0" w:color="auto"/>
          </w:divBdr>
        </w:div>
        <w:div w:id="793058690">
          <w:marLeft w:val="1800"/>
          <w:marRight w:val="0"/>
          <w:marTop w:val="100"/>
          <w:marBottom w:val="0"/>
          <w:divBdr>
            <w:top w:val="none" w:sz="0" w:space="0" w:color="auto"/>
            <w:left w:val="none" w:sz="0" w:space="0" w:color="auto"/>
            <w:bottom w:val="none" w:sz="0" w:space="0" w:color="auto"/>
            <w:right w:val="none" w:sz="0" w:space="0" w:color="auto"/>
          </w:divBdr>
        </w:div>
        <w:div w:id="1100250820">
          <w:marLeft w:val="1800"/>
          <w:marRight w:val="0"/>
          <w:marTop w:val="100"/>
          <w:marBottom w:val="0"/>
          <w:divBdr>
            <w:top w:val="none" w:sz="0" w:space="0" w:color="auto"/>
            <w:left w:val="none" w:sz="0" w:space="0" w:color="auto"/>
            <w:bottom w:val="none" w:sz="0" w:space="0" w:color="auto"/>
            <w:right w:val="none" w:sz="0" w:space="0" w:color="auto"/>
          </w:divBdr>
        </w:div>
        <w:div w:id="1314329332">
          <w:marLeft w:val="1080"/>
          <w:marRight w:val="0"/>
          <w:marTop w:val="100"/>
          <w:marBottom w:val="0"/>
          <w:divBdr>
            <w:top w:val="none" w:sz="0" w:space="0" w:color="auto"/>
            <w:left w:val="none" w:sz="0" w:space="0" w:color="auto"/>
            <w:bottom w:val="none" w:sz="0" w:space="0" w:color="auto"/>
            <w:right w:val="none" w:sz="0" w:space="0" w:color="auto"/>
          </w:divBdr>
        </w:div>
        <w:div w:id="1470172356">
          <w:marLeft w:val="360"/>
          <w:marRight w:val="0"/>
          <w:marTop w:val="200"/>
          <w:marBottom w:val="0"/>
          <w:divBdr>
            <w:top w:val="none" w:sz="0" w:space="0" w:color="auto"/>
            <w:left w:val="none" w:sz="0" w:space="0" w:color="auto"/>
            <w:bottom w:val="none" w:sz="0" w:space="0" w:color="auto"/>
            <w:right w:val="none" w:sz="0" w:space="0" w:color="auto"/>
          </w:divBdr>
        </w:div>
        <w:div w:id="1857693083">
          <w:marLeft w:val="1800"/>
          <w:marRight w:val="0"/>
          <w:marTop w:val="100"/>
          <w:marBottom w:val="0"/>
          <w:divBdr>
            <w:top w:val="none" w:sz="0" w:space="0" w:color="auto"/>
            <w:left w:val="none" w:sz="0" w:space="0" w:color="auto"/>
            <w:bottom w:val="none" w:sz="0" w:space="0" w:color="auto"/>
            <w:right w:val="none" w:sz="0" w:space="0" w:color="auto"/>
          </w:divBdr>
        </w:div>
        <w:div w:id="2054504194">
          <w:marLeft w:val="1800"/>
          <w:marRight w:val="0"/>
          <w:marTop w:val="100"/>
          <w:marBottom w:val="0"/>
          <w:divBdr>
            <w:top w:val="none" w:sz="0" w:space="0" w:color="auto"/>
            <w:left w:val="none" w:sz="0" w:space="0" w:color="auto"/>
            <w:bottom w:val="none" w:sz="0" w:space="0" w:color="auto"/>
            <w:right w:val="none" w:sz="0" w:space="0" w:color="auto"/>
          </w:divBdr>
        </w:div>
      </w:divsChild>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22406076">
      <w:bodyDiv w:val="1"/>
      <w:marLeft w:val="0"/>
      <w:marRight w:val="0"/>
      <w:marTop w:val="0"/>
      <w:marBottom w:val="0"/>
      <w:divBdr>
        <w:top w:val="none" w:sz="0" w:space="0" w:color="auto"/>
        <w:left w:val="none" w:sz="0" w:space="0" w:color="auto"/>
        <w:bottom w:val="none" w:sz="0" w:space="0" w:color="auto"/>
        <w:right w:val="none" w:sz="0" w:space="0" w:color="auto"/>
      </w:divBdr>
      <w:divsChild>
        <w:div w:id="99684233">
          <w:marLeft w:val="720"/>
          <w:marRight w:val="0"/>
          <w:marTop w:val="200"/>
          <w:marBottom w:val="120"/>
          <w:divBdr>
            <w:top w:val="none" w:sz="0" w:space="0" w:color="auto"/>
            <w:left w:val="none" w:sz="0" w:space="0" w:color="auto"/>
            <w:bottom w:val="none" w:sz="0" w:space="0" w:color="auto"/>
            <w:right w:val="none" w:sz="0" w:space="0" w:color="auto"/>
          </w:divBdr>
        </w:div>
        <w:div w:id="262110561">
          <w:marLeft w:val="720"/>
          <w:marRight w:val="0"/>
          <w:marTop w:val="200"/>
          <w:marBottom w:val="120"/>
          <w:divBdr>
            <w:top w:val="none" w:sz="0" w:space="0" w:color="auto"/>
            <w:left w:val="none" w:sz="0" w:space="0" w:color="auto"/>
            <w:bottom w:val="none" w:sz="0" w:space="0" w:color="auto"/>
            <w:right w:val="none" w:sz="0" w:space="0" w:color="auto"/>
          </w:divBdr>
        </w:div>
        <w:div w:id="485318591">
          <w:marLeft w:val="720"/>
          <w:marRight w:val="0"/>
          <w:marTop w:val="200"/>
          <w:marBottom w:val="120"/>
          <w:divBdr>
            <w:top w:val="none" w:sz="0" w:space="0" w:color="auto"/>
            <w:left w:val="none" w:sz="0" w:space="0" w:color="auto"/>
            <w:bottom w:val="none" w:sz="0" w:space="0" w:color="auto"/>
            <w:right w:val="none" w:sz="0" w:space="0" w:color="auto"/>
          </w:divBdr>
        </w:div>
        <w:div w:id="1039087593">
          <w:marLeft w:val="720"/>
          <w:marRight w:val="0"/>
          <w:marTop w:val="200"/>
          <w:marBottom w:val="120"/>
          <w:divBdr>
            <w:top w:val="none" w:sz="0" w:space="0" w:color="auto"/>
            <w:left w:val="none" w:sz="0" w:space="0" w:color="auto"/>
            <w:bottom w:val="none" w:sz="0" w:space="0" w:color="auto"/>
            <w:right w:val="none" w:sz="0" w:space="0" w:color="auto"/>
          </w:divBdr>
        </w:div>
        <w:div w:id="1188366819">
          <w:marLeft w:val="720"/>
          <w:marRight w:val="0"/>
          <w:marTop w:val="200"/>
          <w:marBottom w:val="120"/>
          <w:divBdr>
            <w:top w:val="none" w:sz="0" w:space="0" w:color="auto"/>
            <w:left w:val="none" w:sz="0" w:space="0" w:color="auto"/>
            <w:bottom w:val="none" w:sz="0" w:space="0" w:color="auto"/>
            <w:right w:val="none" w:sz="0" w:space="0" w:color="auto"/>
          </w:divBdr>
        </w:div>
        <w:div w:id="1273440829">
          <w:marLeft w:val="720"/>
          <w:marRight w:val="0"/>
          <w:marTop w:val="200"/>
          <w:marBottom w:val="120"/>
          <w:divBdr>
            <w:top w:val="none" w:sz="0" w:space="0" w:color="auto"/>
            <w:left w:val="none" w:sz="0" w:space="0" w:color="auto"/>
            <w:bottom w:val="none" w:sz="0" w:space="0" w:color="auto"/>
            <w:right w:val="none" w:sz="0" w:space="0" w:color="auto"/>
          </w:divBdr>
        </w:div>
        <w:div w:id="1280844694">
          <w:marLeft w:val="720"/>
          <w:marRight w:val="0"/>
          <w:marTop w:val="200"/>
          <w:marBottom w:val="120"/>
          <w:divBdr>
            <w:top w:val="none" w:sz="0" w:space="0" w:color="auto"/>
            <w:left w:val="none" w:sz="0" w:space="0" w:color="auto"/>
            <w:bottom w:val="none" w:sz="0" w:space="0" w:color="auto"/>
            <w:right w:val="none" w:sz="0" w:space="0" w:color="auto"/>
          </w:divBdr>
        </w:div>
        <w:div w:id="1434546894">
          <w:marLeft w:val="720"/>
          <w:marRight w:val="0"/>
          <w:marTop w:val="200"/>
          <w:marBottom w:val="120"/>
          <w:divBdr>
            <w:top w:val="none" w:sz="0" w:space="0" w:color="auto"/>
            <w:left w:val="none" w:sz="0" w:space="0" w:color="auto"/>
            <w:bottom w:val="none" w:sz="0" w:space="0" w:color="auto"/>
            <w:right w:val="none" w:sz="0" w:space="0" w:color="auto"/>
          </w:divBdr>
        </w:div>
        <w:div w:id="1621959645">
          <w:marLeft w:val="720"/>
          <w:marRight w:val="0"/>
          <w:marTop w:val="200"/>
          <w:marBottom w:val="120"/>
          <w:divBdr>
            <w:top w:val="none" w:sz="0" w:space="0" w:color="auto"/>
            <w:left w:val="none" w:sz="0" w:space="0" w:color="auto"/>
            <w:bottom w:val="none" w:sz="0" w:space="0" w:color="auto"/>
            <w:right w:val="none" w:sz="0" w:space="0" w:color="auto"/>
          </w:divBdr>
        </w:div>
        <w:div w:id="1785687877">
          <w:marLeft w:val="720"/>
          <w:marRight w:val="0"/>
          <w:marTop w:val="200"/>
          <w:marBottom w:val="120"/>
          <w:divBdr>
            <w:top w:val="none" w:sz="0" w:space="0" w:color="auto"/>
            <w:left w:val="none" w:sz="0" w:space="0" w:color="auto"/>
            <w:bottom w:val="none" w:sz="0" w:space="0" w:color="auto"/>
            <w:right w:val="none" w:sz="0" w:space="0" w:color="auto"/>
          </w:divBdr>
        </w:div>
        <w:div w:id="1878423310">
          <w:marLeft w:val="720"/>
          <w:marRight w:val="0"/>
          <w:marTop w:val="200"/>
          <w:marBottom w:val="120"/>
          <w:divBdr>
            <w:top w:val="none" w:sz="0" w:space="0" w:color="auto"/>
            <w:left w:val="none" w:sz="0" w:space="0" w:color="auto"/>
            <w:bottom w:val="none" w:sz="0" w:space="0" w:color="auto"/>
            <w:right w:val="none" w:sz="0" w:space="0" w:color="auto"/>
          </w:divBdr>
        </w:div>
        <w:div w:id="1884519898">
          <w:marLeft w:val="720"/>
          <w:marRight w:val="0"/>
          <w:marTop w:val="200"/>
          <w:marBottom w:val="120"/>
          <w:divBdr>
            <w:top w:val="none" w:sz="0" w:space="0" w:color="auto"/>
            <w:left w:val="none" w:sz="0" w:space="0" w:color="auto"/>
            <w:bottom w:val="none" w:sz="0" w:space="0" w:color="auto"/>
            <w:right w:val="none" w:sz="0" w:space="0" w:color="auto"/>
          </w:divBdr>
        </w:div>
        <w:div w:id="1927303954">
          <w:marLeft w:val="720"/>
          <w:marRight w:val="0"/>
          <w:marTop w:val="200"/>
          <w:marBottom w:val="120"/>
          <w:divBdr>
            <w:top w:val="none" w:sz="0" w:space="0" w:color="auto"/>
            <w:left w:val="none" w:sz="0" w:space="0" w:color="auto"/>
            <w:bottom w:val="none" w:sz="0" w:space="0" w:color="auto"/>
            <w:right w:val="none" w:sz="0" w:space="0" w:color="auto"/>
          </w:divBdr>
        </w:div>
      </w:divsChild>
    </w:div>
    <w:div w:id="1424257446">
      <w:bodyDiv w:val="1"/>
      <w:marLeft w:val="0"/>
      <w:marRight w:val="0"/>
      <w:marTop w:val="0"/>
      <w:marBottom w:val="0"/>
      <w:divBdr>
        <w:top w:val="none" w:sz="0" w:space="0" w:color="auto"/>
        <w:left w:val="none" w:sz="0" w:space="0" w:color="auto"/>
        <w:bottom w:val="none" w:sz="0" w:space="0" w:color="auto"/>
        <w:right w:val="none" w:sz="0" w:space="0" w:color="auto"/>
      </w:divBdr>
      <w:divsChild>
        <w:div w:id="1767727300">
          <w:marLeft w:val="360"/>
          <w:marRight w:val="0"/>
          <w:marTop w:val="0"/>
          <w:marBottom w:val="120"/>
          <w:divBdr>
            <w:top w:val="none" w:sz="0" w:space="0" w:color="auto"/>
            <w:left w:val="none" w:sz="0" w:space="0" w:color="auto"/>
            <w:bottom w:val="none" w:sz="0" w:space="0" w:color="auto"/>
            <w:right w:val="none" w:sz="0" w:space="0" w:color="auto"/>
          </w:divBdr>
        </w:div>
      </w:divsChild>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00581915">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270015169">
          <w:marLeft w:val="1080"/>
          <w:marRight w:val="0"/>
          <w:marTop w:val="1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1305159942">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872842868">
      <w:bodyDiv w:val="1"/>
      <w:marLeft w:val="0"/>
      <w:marRight w:val="0"/>
      <w:marTop w:val="0"/>
      <w:marBottom w:val="0"/>
      <w:divBdr>
        <w:top w:val="none" w:sz="0" w:space="0" w:color="auto"/>
        <w:left w:val="none" w:sz="0" w:space="0" w:color="auto"/>
        <w:bottom w:val="none" w:sz="0" w:space="0" w:color="auto"/>
        <w:right w:val="none" w:sz="0" w:space="0" w:color="auto"/>
      </w:divBdr>
      <w:divsChild>
        <w:div w:id="588387365">
          <w:marLeft w:val="1267"/>
          <w:marRight w:val="0"/>
          <w:marTop w:val="72"/>
          <w:marBottom w:val="0"/>
          <w:divBdr>
            <w:top w:val="none" w:sz="0" w:space="0" w:color="auto"/>
            <w:left w:val="none" w:sz="0" w:space="0" w:color="auto"/>
            <w:bottom w:val="none" w:sz="0" w:space="0" w:color="auto"/>
            <w:right w:val="none" w:sz="0" w:space="0" w:color="auto"/>
          </w:divBdr>
        </w:div>
      </w:divsChild>
    </w:div>
    <w:div w:id="1902593350">
      <w:bodyDiv w:val="1"/>
      <w:marLeft w:val="0"/>
      <w:marRight w:val="0"/>
      <w:marTop w:val="0"/>
      <w:marBottom w:val="0"/>
      <w:divBdr>
        <w:top w:val="none" w:sz="0" w:space="0" w:color="auto"/>
        <w:left w:val="none" w:sz="0" w:space="0" w:color="auto"/>
        <w:bottom w:val="none" w:sz="0" w:space="0" w:color="auto"/>
        <w:right w:val="none" w:sz="0" w:space="0" w:color="auto"/>
      </w:divBdr>
      <w:divsChild>
        <w:div w:id="160242020">
          <w:marLeft w:val="360"/>
          <w:marRight w:val="0"/>
          <w:marTop w:val="200"/>
          <w:marBottom w:val="0"/>
          <w:divBdr>
            <w:top w:val="none" w:sz="0" w:space="0" w:color="auto"/>
            <w:left w:val="none" w:sz="0" w:space="0" w:color="auto"/>
            <w:bottom w:val="none" w:sz="0" w:space="0" w:color="auto"/>
            <w:right w:val="none" w:sz="0" w:space="0" w:color="auto"/>
          </w:divBdr>
        </w:div>
        <w:div w:id="853572274">
          <w:marLeft w:val="360"/>
          <w:marRight w:val="0"/>
          <w:marTop w:val="200"/>
          <w:marBottom w:val="0"/>
          <w:divBdr>
            <w:top w:val="none" w:sz="0" w:space="0" w:color="auto"/>
            <w:left w:val="none" w:sz="0" w:space="0" w:color="auto"/>
            <w:bottom w:val="none" w:sz="0" w:space="0" w:color="auto"/>
            <w:right w:val="none" w:sz="0" w:space="0" w:color="auto"/>
          </w:divBdr>
        </w:div>
        <w:div w:id="1055661641">
          <w:marLeft w:val="1080"/>
          <w:marRight w:val="0"/>
          <w:marTop w:val="100"/>
          <w:marBottom w:val="0"/>
          <w:divBdr>
            <w:top w:val="none" w:sz="0" w:space="0" w:color="auto"/>
            <w:left w:val="none" w:sz="0" w:space="0" w:color="auto"/>
            <w:bottom w:val="none" w:sz="0" w:space="0" w:color="auto"/>
            <w:right w:val="none" w:sz="0" w:space="0" w:color="auto"/>
          </w:divBdr>
        </w:div>
        <w:div w:id="1366910409">
          <w:marLeft w:val="360"/>
          <w:marRight w:val="0"/>
          <w:marTop w:val="200"/>
          <w:marBottom w:val="0"/>
          <w:divBdr>
            <w:top w:val="none" w:sz="0" w:space="0" w:color="auto"/>
            <w:left w:val="none" w:sz="0" w:space="0" w:color="auto"/>
            <w:bottom w:val="none" w:sz="0" w:space="0" w:color="auto"/>
            <w:right w:val="none" w:sz="0" w:space="0" w:color="auto"/>
          </w:divBdr>
        </w:div>
        <w:div w:id="1717312923">
          <w:marLeft w:val="1080"/>
          <w:marRight w:val="0"/>
          <w:marTop w:val="100"/>
          <w:marBottom w:val="0"/>
          <w:divBdr>
            <w:top w:val="none" w:sz="0" w:space="0" w:color="auto"/>
            <w:left w:val="none" w:sz="0" w:space="0" w:color="auto"/>
            <w:bottom w:val="none" w:sz="0" w:space="0" w:color="auto"/>
            <w:right w:val="none" w:sz="0" w:space="0" w:color="auto"/>
          </w:divBdr>
        </w:div>
        <w:div w:id="2056153357">
          <w:marLeft w:val="1080"/>
          <w:marRight w:val="0"/>
          <w:marTop w:val="100"/>
          <w:marBottom w:val="0"/>
          <w:divBdr>
            <w:top w:val="none" w:sz="0" w:space="0" w:color="auto"/>
            <w:left w:val="none" w:sz="0" w:space="0" w:color="auto"/>
            <w:bottom w:val="none" w:sz="0" w:space="0" w:color="auto"/>
            <w:right w:val="none" w:sz="0" w:space="0" w:color="auto"/>
          </w:divBdr>
        </w:div>
      </w:divsChild>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12024067">
      <w:bodyDiv w:val="1"/>
      <w:marLeft w:val="0"/>
      <w:marRight w:val="0"/>
      <w:marTop w:val="0"/>
      <w:marBottom w:val="0"/>
      <w:divBdr>
        <w:top w:val="none" w:sz="0" w:space="0" w:color="auto"/>
        <w:left w:val="none" w:sz="0" w:space="0" w:color="auto"/>
        <w:bottom w:val="none" w:sz="0" w:space="0" w:color="auto"/>
        <w:right w:val="none" w:sz="0" w:space="0" w:color="auto"/>
      </w:divBdr>
      <w:divsChild>
        <w:div w:id="21328449">
          <w:marLeft w:val="1267"/>
          <w:marRight w:val="0"/>
          <w:marTop w:val="72"/>
          <w:marBottom w:val="0"/>
          <w:divBdr>
            <w:top w:val="none" w:sz="0" w:space="0" w:color="auto"/>
            <w:left w:val="none" w:sz="0" w:space="0" w:color="auto"/>
            <w:bottom w:val="none" w:sz="0" w:space="0" w:color="auto"/>
            <w:right w:val="none" w:sz="0" w:space="0" w:color="auto"/>
          </w:divBdr>
        </w:div>
        <w:div w:id="161431603">
          <w:marLeft w:val="547"/>
          <w:marRight w:val="0"/>
          <w:marTop w:val="72"/>
          <w:marBottom w:val="0"/>
          <w:divBdr>
            <w:top w:val="none" w:sz="0" w:space="0" w:color="auto"/>
            <w:left w:val="none" w:sz="0" w:space="0" w:color="auto"/>
            <w:bottom w:val="none" w:sz="0" w:space="0" w:color="auto"/>
            <w:right w:val="none" w:sz="0" w:space="0" w:color="auto"/>
          </w:divBdr>
        </w:div>
        <w:div w:id="258563188">
          <w:marLeft w:val="547"/>
          <w:marRight w:val="0"/>
          <w:marTop w:val="72"/>
          <w:marBottom w:val="0"/>
          <w:divBdr>
            <w:top w:val="none" w:sz="0" w:space="0" w:color="auto"/>
            <w:left w:val="none" w:sz="0" w:space="0" w:color="auto"/>
            <w:bottom w:val="none" w:sz="0" w:space="0" w:color="auto"/>
            <w:right w:val="none" w:sz="0" w:space="0" w:color="auto"/>
          </w:divBdr>
        </w:div>
        <w:div w:id="1038697279">
          <w:marLeft w:val="1267"/>
          <w:marRight w:val="0"/>
          <w:marTop w:val="72"/>
          <w:marBottom w:val="0"/>
          <w:divBdr>
            <w:top w:val="none" w:sz="0" w:space="0" w:color="auto"/>
            <w:left w:val="none" w:sz="0" w:space="0" w:color="auto"/>
            <w:bottom w:val="none" w:sz="0" w:space="0" w:color="auto"/>
            <w:right w:val="none" w:sz="0" w:space="0" w:color="auto"/>
          </w:divBdr>
        </w:div>
        <w:div w:id="1354913946">
          <w:marLeft w:val="1267"/>
          <w:marRight w:val="0"/>
          <w:marTop w:val="72"/>
          <w:marBottom w:val="0"/>
          <w:divBdr>
            <w:top w:val="none" w:sz="0" w:space="0" w:color="auto"/>
            <w:left w:val="none" w:sz="0" w:space="0" w:color="auto"/>
            <w:bottom w:val="none" w:sz="0" w:space="0" w:color="auto"/>
            <w:right w:val="none" w:sz="0" w:space="0" w:color="auto"/>
          </w:divBdr>
        </w:div>
        <w:div w:id="1760325682">
          <w:marLeft w:val="1267"/>
          <w:marRight w:val="0"/>
          <w:marTop w:val="72"/>
          <w:marBottom w:val="0"/>
          <w:divBdr>
            <w:top w:val="none" w:sz="0" w:space="0" w:color="auto"/>
            <w:left w:val="none" w:sz="0" w:space="0" w:color="auto"/>
            <w:bottom w:val="none" w:sz="0" w:space="0" w:color="auto"/>
            <w:right w:val="none" w:sz="0" w:space="0" w:color="auto"/>
          </w:divBdr>
        </w:div>
        <w:div w:id="1773814156">
          <w:marLeft w:val="1987"/>
          <w:marRight w:val="0"/>
          <w:marTop w:val="72"/>
          <w:marBottom w:val="0"/>
          <w:divBdr>
            <w:top w:val="none" w:sz="0" w:space="0" w:color="auto"/>
            <w:left w:val="none" w:sz="0" w:space="0" w:color="auto"/>
            <w:bottom w:val="none" w:sz="0" w:space="0" w:color="auto"/>
            <w:right w:val="none" w:sz="0" w:space="0" w:color="auto"/>
          </w:divBdr>
        </w:div>
      </w:divsChild>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E509E-C1E1-4BB3-9EF1-D68A9CBD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dc:description/>
  <cp:lastModifiedBy>samsung</cp:lastModifiedBy>
  <cp:revision>9</cp:revision>
  <cp:lastPrinted>2018-05-14T02:35:00Z</cp:lastPrinted>
  <dcterms:created xsi:type="dcterms:W3CDTF">2020-04-10T06:13:00Z</dcterms:created>
  <dcterms:modified xsi:type="dcterms:W3CDTF">2020-04-10T08:49:00Z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